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A1" w:rsidRDefault="00E93074" w:rsidP="005610CB">
      <w:pPr>
        <w:spacing w:line="360" w:lineRule="auto"/>
        <w:jc w:val="both"/>
        <w:rPr>
          <w:rFonts w:ascii="Arial" w:hAnsi="Arial" w:cs="Arial"/>
          <w:b/>
          <w:sz w:val="20"/>
          <w:szCs w:val="20"/>
        </w:rPr>
      </w:pPr>
      <w:r>
        <w:rPr>
          <w:rFonts w:ascii="Arial" w:hAnsi="Arial" w:cs="Arial"/>
          <w:b/>
          <w:sz w:val="20"/>
          <w:szCs w:val="20"/>
        </w:rPr>
        <w:t>DKP</w:t>
      </w:r>
      <w:r w:rsidR="000E4CD5">
        <w:rPr>
          <w:rFonts w:ascii="Arial" w:hAnsi="Arial" w:cs="Arial"/>
          <w:b/>
          <w:sz w:val="20"/>
          <w:szCs w:val="20"/>
        </w:rPr>
        <w:t>:</w:t>
      </w:r>
      <w:r w:rsidR="00D651E1">
        <w:rPr>
          <w:rFonts w:ascii="Arial" w:hAnsi="Arial" w:cs="Arial"/>
          <w:b/>
          <w:sz w:val="20"/>
          <w:szCs w:val="20"/>
        </w:rPr>
        <w:t xml:space="preserve"> </w:t>
      </w:r>
      <w:r w:rsidR="00A46FA9">
        <w:rPr>
          <w:rFonts w:ascii="Arial" w:hAnsi="Arial" w:cs="Arial"/>
          <w:b/>
          <w:sz w:val="20"/>
          <w:szCs w:val="20"/>
        </w:rPr>
        <w:t xml:space="preserve">Annual </w:t>
      </w:r>
      <w:bookmarkStart w:id="0" w:name="_GoBack"/>
      <w:bookmarkEnd w:id="0"/>
      <w:r w:rsidR="004A5893" w:rsidRPr="004A5893">
        <w:rPr>
          <w:rFonts w:ascii="Arial" w:hAnsi="Arial" w:cs="Arial"/>
          <w:b/>
          <w:sz w:val="20"/>
          <w:szCs w:val="20"/>
        </w:rPr>
        <w:t>General Mandate 2020</w:t>
      </w:r>
    </w:p>
    <w:p w:rsidR="006B36E8" w:rsidRDefault="00B70D7E" w:rsidP="005610CB">
      <w:pPr>
        <w:spacing w:line="360" w:lineRule="auto"/>
        <w:jc w:val="both"/>
        <w:rPr>
          <w:rFonts w:ascii="Arial" w:hAnsi="Arial" w:cs="Arial"/>
          <w:sz w:val="20"/>
          <w:szCs w:val="20"/>
        </w:rPr>
      </w:pPr>
      <w:r>
        <w:rPr>
          <w:rFonts w:ascii="Arial" w:hAnsi="Arial" w:cs="Arial"/>
          <w:sz w:val="20"/>
          <w:szCs w:val="20"/>
        </w:rPr>
        <w:t xml:space="preserve">On </w:t>
      </w:r>
      <w:r w:rsidR="004A5893">
        <w:rPr>
          <w:rFonts w:ascii="Arial" w:hAnsi="Arial" w:cs="Arial"/>
          <w:sz w:val="20"/>
          <w:szCs w:val="20"/>
        </w:rPr>
        <w:t>28 Apr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proofErr w:type="spellStart"/>
      <w:r w:rsidR="00E93074" w:rsidRPr="00E93074">
        <w:rPr>
          <w:rFonts w:ascii="Arial" w:hAnsi="Arial" w:cs="Arial"/>
          <w:sz w:val="20"/>
          <w:szCs w:val="20"/>
        </w:rPr>
        <w:t>Duoc</w:t>
      </w:r>
      <w:proofErr w:type="spellEnd"/>
      <w:r w:rsidR="00E93074" w:rsidRPr="00E93074">
        <w:rPr>
          <w:rFonts w:ascii="Arial" w:hAnsi="Arial" w:cs="Arial"/>
          <w:sz w:val="20"/>
          <w:szCs w:val="20"/>
        </w:rPr>
        <w:t xml:space="preserve"> </w:t>
      </w:r>
      <w:proofErr w:type="spellStart"/>
      <w:r w:rsidR="00E93074" w:rsidRPr="00E93074">
        <w:rPr>
          <w:rFonts w:ascii="Arial" w:hAnsi="Arial" w:cs="Arial"/>
          <w:sz w:val="20"/>
          <w:szCs w:val="20"/>
        </w:rPr>
        <w:t>Khoa</w:t>
      </w:r>
      <w:proofErr w:type="spellEnd"/>
      <w:r w:rsidR="00E93074" w:rsidRPr="00E93074">
        <w:rPr>
          <w:rFonts w:ascii="Arial" w:hAnsi="Arial" w:cs="Arial"/>
          <w:sz w:val="20"/>
          <w:szCs w:val="20"/>
        </w:rPr>
        <w:t xml:space="preserve"> Pharmaceutical Joint Stock Company</w:t>
      </w:r>
      <w:r w:rsidR="00E93074">
        <w:rPr>
          <w:rFonts w:ascii="Arial" w:hAnsi="Arial" w:cs="Arial"/>
          <w:sz w:val="20"/>
          <w:szCs w:val="20"/>
        </w:rPr>
        <w:t xml:space="preserve"> </w:t>
      </w:r>
      <w:r w:rsidR="002E7FD0">
        <w:rPr>
          <w:rFonts w:ascii="Arial" w:hAnsi="Arial" w:cs="Arial"/>
          <w:sz w:val="20"/>
          <w:szCs w:val="20"/>
        </w:rPr>
        <w:t>announced the</w:t>
      </w:r>
      <w:r w:rsidR="00AC6BEF">
        <w:rPr>
          <w:rFonts w:ascii="Arial" w:hAnsi="Arial" w:cs="Arial"/>
          <w:sz w:val="20"/>
          <w:szCs w:val="20"/>
        </w:rPr>
        <w:t xml:space="preserve"> </w:t>
      </w:r>
      <w:r w:rsidR="004A5893" w:rsidRPr="004A5893">
        <w:rPr>
          <w:rFonts w:ascii="Arial" w:hAnsi="Arial" w:cs="Arial"/>
          <w:sz w:val="20"/>
          <w:szCs w:val="20"/>
        </w:rPr>
        <w:t>Extraordinary General Mandate 2020</w:t>
      </w:r>
      <w:r w:rsidR="004A5893">
        <w:rPr>
          <w:rFonts w:ascii="Arial" w:hAnsi="Arial" w:cs="Arial"/>
          <w:sz w:val="20"/>
          <w:szCs w:val="20"/>
        </w:rPr>
        <w:t xml:space="preserve"> </w:t>
      </w:r>
      <w:r w:rsidR="00132EC5">
        <w:rPr>
          <w:rFonts w:ascii="Arial" w:hAnsi="Arial" w:cs="Arial"/>
          <w:sz w:val="20"/>
          <w:szCs w:val="20"/>
        </w:rPr>
        <w:t xml:space="preserve">as </w:t>
      </w:r>
      <w:r w:rsidR="00467BC0">
        <w:rPr>
          <w:rFonts w:ascii="Arial" w:hAnsi="Arial" w:cs="Arial"/>
          <w:sz w:val="20"/>
          <w:szCs w:val="20"/>
        </w:rPr>
        <w:t>follows:</w:t>
      </w:r>
    </w:p>
    <w:p w:rsidR="00E93074" w:rsidRDefault="00E93074" w:rsidP="005610CB">
      <w:pPr>
        <w:spacing w:line="360" w:lineRule="auto"/>
        <w:jc w:val="both"/>
        <w:rPr>
          <w:rFonts w:ascii="Arial" w:hAnsi="Arial" w:cs="Arial"/>
          <w:sz w:val="20"/>
          <w:szCs w:val="20"/>
        </w:rPr>
      </w:pPr>
      <w:r>
        <w:rPr>
          <w:rFonts w:ascii="Arial" w:hAnsi="Arial" w:cs="Arial"/>
          <w:sz w:val="20"/>
          <w:szCs w:val="20"/>
        </w:rPr>
        <w:t>Article 1: Approve the report on financial activities, business in 2019 and operation plan of 2020 as follows:</w:t>
      </w:r>
    </w:p>
    <w:tbl>
      <w:tblPr>
        <w:tblStyle w:val="TableGrid"/>
        <w:tblW w:w="0" w:type="auto"/>
        <w:tblLook w:val="04A0" w:firstRow="1" w:lastRow="0" w:firstColumn="1" w:lastColumn="0" w:noHBand="0" w:noVBand="1"/>
      </w:tblPr>
      <w:tblGrid>
        <w:gridCol w:w="4518"/>
        <w:gridCol w:w="2520"/>
        <w:gridCol w:w="2538"/>
      </w:tblGrid>
      <w:tr w:rsidR="00E93074" w:rsidTr="002E65E9">
        <w:tc>
          <w:tcPr>
            <w:tcW w:w="4518" w:type="dxa"/>
          </w:tcPr>
          <w:p w:rsidR="00E93074" w:rsidRDefault="00E93074" w:rsidP="005610CB">
            <w:pPr>
              <w:spacing w:line="360" w:lineRule="auto"/>
              <w:jc w:val="both"/>
              <w:rPr>
                <w:rFonts w:ascii="Arial" w:hAnsi="Arial" w:cs="Arial"/>
                <w:sz w:val="20"/>
                <w:szCs w:val="20"/>
              </w:rPr>
            </w:pPr>
            <w:r>
              <w:rPr>
                <w:rFonts w:ascii="Arial" w:hAnsi="Arial" w:cs="Arial"/>
                <w:sz w:val="20"/>
                <w:szCs w:val="20"/>
              </w:rPr>
              <w:t>Indicator</w:t>
            </w:r>
          </w:p>
        </w:tc>
        <w:tc>
          <w:tcPr>
            <w:tcW w:w="2520" w:type="dxa"/>
          </w:tcPr>
          <w:p w:rsidR="00E93074" w:rsidRDefault="00E93074" w:rsidP="005610CB">
            <w:pPr>
              <w:spacing w:line="360" w:lineRule="auto"/>
              <w:jc w:val="both"/>
              <w:rPr>
                <w:rFonts w:ascii="Arial" w:hAnsi="Arial" w:cs="Arial"/>
                <w:sz w:val="20"/>
                <w:szCs w:val="20"/>
              </w:rPr>
            </w:pPr>
            <w:r>
              <w:rPr>
                <w:rFonts w:ascii="Arial" w:hAnsi="Arial" w:cs="Arial"/>
                <w:sz w:val="20"/>
                <w:szCs w:val="20"/>
              </w:rPr>
              <w:t>Year 2019</w:t>
            </w:r>
          </w:p>
        </w:tc>
        <w:tc>
          <w:tcPr>
            <w:tcW w:w="2538" w:type="dxa"/>
          </w:tcPr>
          <w:p w:rsidR="00E93074" w:rsidRDefault="00E93074" w:rsidP="005610CB">
            <w:pPr>
              <w:spacing w:line="360" w:lineRule="auto"/>
              <w:jc w:val="both"/>
              <w:rPr>
                <w:rFonts w:ascii="Arial" w:hAnsi="Arial" w:cs="Arial"/>
                <w:sz w:val="20"/>
                <w:szCs w:val="20"/>
              </w:rPr>
            </w:pPr>
            <w:r>
              <w:rPr>
                <w:rFonts w:ascii="Arial" w:hAnsi="Arial" w:cs="Arial"/>
                <w:sz w:val="20"/>
                <w:szCs w:val="20"/>
              </w:rPr>
              <w:t>Year 2020</w:t>
            </w:r>
          </w:p>
        </w:tc>
      </w:tr>
      <w:tr w:rsidR="00E93074" w:rsidTr="002E65E9">
        <w:tc>
          <w:tcPr>
            <w:tcW w:w="4518" w:type="dxa"/>
          </w:tcPr>
          <w:p w:rsidR="00E93074" w:rsidRDefault="00E93074" w:rsidP="005610CB">
            <w:pPr>
              <w:spacing w:line="360" w:lineRule="auto"/>
              <w:jc w:val="both"/>
              <w:rPr>
                <w:rFonts w:ascii="Arial" w:hAnsi="Arial" w:cs="Arial"/>
                <w:sz w:val="20"/>
                <w:szCs w:val="20"/>
              </w:rPr>
            </w:pPr>
            <w:r>
              <w:rPr>
                <w:rFonts w:ascii="Arial" w:hAnsi="Arial" w:cs="Arial"/>
                <w:sz w:val="20"/>
                <w:szCs w:val="20"/>
              </w:rPr>
              <w:t>1</w:t>
            </w:r>
          </w:p>
        </w:tc>
        <w:tc>
          <w:tcPr>
            <w:tcW w:w="2520" w:type="dxa"/>
          </w:tcPr>
          <w:p w:rsidR="00E93074" w:rsidRDefault="00E93074" w:rsidP="005610CB">
            <w:pPr>
              <w:spacing w:line="360" w:lineRule="auto"/>
              <w:jc w:val="both"/>
              <w:rPr>
                <w:rFonts w:ascii="Arial" w:hAnsi="Arial" w:cs="Arial"/>
                <w:sz w:val="20"/>
                <w:szCs w:val="20"/>
              </w:rPr>
            </w:pPr>
            <w:r>
              <w:rPr>
                <w:rFonts w:ascii="Arial" w:hAnsi="Arial" w:cs="Arial"/>
                <w:sz w:val="20"/>
                <w:szCs w:val="20"/>
              </w:rPr>
              <w:t>2</w:t>
            </w:r>
          </w:p>
        </w:tc>
        <w:tc>
          <w:tcPr>
            <w:tcW w:w="2538" w:type="dxa"/>
          </w:tcPr>
          <w:p w:rsidR="00E93074" w:rsidRDefault="00E93074" w:rsidP="005610CB">
            <w:pPr>
              <w:spacing w:line="360" w:lineRule="auto"/>
              <w:jc w:val="both"/>
              <w:rPr>
                <w:rFonts w:ascii="Arial" w:hAnsi="Arial" w:cs="Arial"/>
                <w:sz w:val="20"/>
                <w:szCs w:val="20"/>
              </w:rPr>
            </w:pPr>
            <w:r>
              <w:rPr>
                <w:rFonts w:ascii="Arial" w:hAnsi="Arial" w:cs="Arial"/>
                <w:sz w:val="20"/>
                <w:szCs w:val="20"/>
              </w:rPr>
              <w:t>3</w:t>
            </w:r>
          </w:p>
        </w:tc>
      </w:tr>
      <w:tr w:rsidR="00E93074" w:rsidTr="002E65E9">
        <w:tc>
          <w:tcPr>
            <w:tcW w:w="4518" w:type="dxa"/>
          </w:tcPr>
          <w:p w:rsidR="00E93074" w:rsidRDefault="00E93074" w:rsidP="005610CB">
            <w:pPr>
              <w:spacing w:line="360" w:lineRule="auto"/>
              <w:jc w:val="both"/>
              <w:rPr>
                <w:rFonts w:ascii="Arial" w:hAnsi="Arial" w:cs="Arial"/>
                <w:sz w:val="20"/>
                <w:szCs w:val="20"/>
              </w:rPr>
            </w:pPr>
            <w:r>
              <w:rPr>
                <w:rFonts w:ascii="Arial" w:hAnsi="Arial" w:cs="Arial"/>
                <w:sz w:val="20"/>
                <w:szCs w:val="20"/>
              </w:rPr>
              <w:t>1. Net revenue of selling goods and services</w:t>
            </w:r>
          </w:p>
        </w:tc>
        <w:tc>
          <w:tcPr>
            <w:tcW w:w="2520" w:type="dxa"/>
          </w:tcPr>
          <w:p w:rsidR="00E93074" w:rsidRDefault="00E93074" w:rsidP="005610CB">
            <w:pPr>
              <w:spacing w:line="360" w:lineRule="auto"/>
              <w:jc w:val="both"/>
              <w:rPr>
                <w:rFonts w:ascii="Arial" w:hAnsi="Arial" w:cs="Arial"/>
                <w:sz w:val="20"/>
                <w:szCs w:val="20"/>
              </w:rPr>
            </w:pPr>
            <w:r>
              <w:rPr>
                <w:rFonts w:ascii="Arial" w:hAnsi="Arial" w:cs="Arial"/>
                <w:sz w:val="20"/>
                <w:szCs w:val="20"/>
              </w:rPr>
              <w:t>79,895,494,659</w:t>
            </w:r>
          </w:p>
        </w:tc>
        <w:tc>
          <w:tcPr>
            <w:tcW w:w="2538" w:type="dxa"/>
          </w:tcPr>
          <w:p w:rsidR="00E93074" w:rsidRDefault="00E93074" w:rsidP="005610CB">
            <w:pPr>
              <w:spacing w:line="360" w:lineRule="auto"/>
              <w:jc w:val="both"/>
              <w:rPr>
                <w:rFonts w:ascii="Arial" w:hAnsi="Arial" w:cs="Arial"/>
                <w:sz w:val="20"/>
                <w:szCs w:val="20"/>
              </w:rPr>
            </w:pPr>
            <w:r>
              <w:rPr>
                <w:rFonts w:ascii="Arial" w:hAnsi="Arial" w:cs="Arial"/>
                <w:sz w:val="20"/>
                <w:szCs w:val="20"/>
              </w:rPr>
              <w:t>80,000,000,000</w:t>
            </w:r>
          </w:p>
        </w:tc>
      </w:tr>
      <w:tr w:rsidR="00E93074" w:rsidTr="002E65E9">
        <w:tc>
          <w:tcPr>
            <w:tcW w:w="4518" w:type="dxa"/>
          </w:tcPr>
          <w:p w:rsidR="00E93074" w:rsidRDefault="00E93074" w:rsidP="005610CB">
            <w:pPr>
              <w:spacing w:line="360" w:lineRule="auto"/>
              <w:jc w:val="both"/>
              <w:rPr>
                <w:rFonts w:ascii="Arial" w:hAnsi="Arial" w:cs="Arial"/>
                <w:sz w:val="20"/>
                <w:szCs w:val="20"/>
              </w:rPr>
            </w:pPr>
            <w:r>
              <w:rPr>
                <w:rFonts w:ascii="Arial" w:hAnsi="Arial" w:cs="Arial"/>
                <w:sz w:val="20"/>
                <w:szCs w:val="20"/>
              </w:rPr>
              <w:t xml:space="preserve">2. Profit before tax </w:t>
            </w:r>
          </w:p>
        </w:tc>
        <w:tc>
          <w:tcPr>
            <w:tcW w:w="2520" w:type="dxa"/>
          </w:tcPr>
          <w:p w:rsidR="00E93074" w:rsidRDefault="00E93074" w:rsidP="005610CB">
            <w:pPr>
              <w:spacing w:line="360" w:lineRule="auto"/>
              <w:jc w:val="both"/>
              <w:rPr>
                <w:rFonts w:ascii="Arial" w:hAnsi="Arial" w:cs="Arial"/>
                <w:sz w:val="20"/>
                <w:szCs w:val="20"/>
              </w:rPr>
            </w:pPr>
            <w:r>
              <w:rPr>
                <w:rFonts w:ascii="Arial" w:hAnsi="Arial" w:cs="Arial"/>
                <w:sz w:val="20"/>
                <w:szCs w:val="20"/>
              </w:rPr>
              <w:t>3,954,227,863</w:t>
            </w:r>
          </w:p>
        </w:tc>
        <w:tc>
          <w:tcPr>
            <w:tcW w:w="2538" w:type="dxa"/>
          </w:tcPr>
          <w:p w:rsidR="00E93074" w:rsidRDefault="00E93074" w:rsidP="005610CB">
            <w:pPr>
              <w:spacing w:line="360" w:lineRule="auto"/>
              <w:jc w:val="both"/>
              <w:rPr>
                <w:rFonts w:ascii="Arial" w:hAnsi="Arial" w:cs="Arial"/>
                <w:sz w:val="20"/>
                <w:szCs w:val="20"/>
              </w:rPr>
            </w:pPr>
            <w:r>
              <w:rPr>
                <w:rFonts w:ascii="Arial" w:hAnsi="Arial" w:cs="Arial"/>
                <w:sz w:val="20"/>
                <w:szCs w:val="20"/>
              </w:rPr>
              <w:t>4,093,575,525</w:t>
            </w:r>
          </w:p>
        </w:tc>
      </w:tr>
      <w:tr w:rsidR="00E93074" w:rsidTr="002E65E9">
        <w:tc>
          <w:tcPr>
            <w:tcW w:w="4518" w:type="dxa"/>
          </w:tcPr>
          <w:p w:rsidR="00E93074" w:rsidRDefault="00E93074" w:rsidP="005610CB">
            <w:pPr>
              <w:spacing w:line="360" w:lineRule="auto"/>
              <w:jc w:val="both"/>
              <w:rPr>
                <w:rFonts w:ascii="Arial" w:hAnsi="Arial" w:cs="Arial"/>
                <w:sz w:val="20"/>
                <w:szCs w:val="20"/>
              </w:rPr>
            </w:pPr>
            <w:r>
              <w:rPr>
                <w:rFonts w:ascii="Arial" w:hAnsi="Arial" w:cs="Arial"/>
                <w:sz w:val="20"/>
                <w:szCs w:val="20"/>
              </w:rPr>
              <w:t xml:space="preserve">3. After-tax profit </w:t>
            </w:r>
          </w:p>
        </w:tc>
        <w:tc>
          <w:tcPr>
            <w:tcW w:w="2520" w:type="dxa"/>
          </w:tcPr>
          <w:p w:rsidR="00E93074" w:rsidRDefault="00E93074" w:rsidP="005610CB">
            <w:pPr>
              <w:spacing w:line="360" w:lineRule="auto"/>
              <w:jc w:val="both"/>
              <w:rPr>
                <w:rFonts w:ascii="Arial" w:hAnsi="Arial" w:cs="Arial"/>
                <w:sz w:val="20"/>
                <w:szCs w:val="20"/>
              </w:rPr>
            </w:pPr>
            <w:r>
              <w:rPr>
                <w:rFonts w:ascii="Arial" w:hAnsi="Arial" w:cs="Arial"/>
                <w:sz w:val="20"/>
                <w:szCs w:val="20"/>
              </w:rPr>
              <w:t>2,599,647,420</w:t>
            </w:r>
          </w:p>
        </w:tc>
        <w:tc>
          <w:tcPr>
            <w:tcW w:w="2538" w:type="dxa"/>
          </w:tcPr>
          <w:p w:rsidR="00E93074" w:rsidRDefault="00E93074" w:rsidP="005610CB">
            <w:pPr>
              <w:spacing w:line="360" w:lineRule="auto"/>
              <w:jc w:val="both"/>
              <w:rPr>
                <w:rFonts w:ascii="Arial" w:hAnsi="Arial" w:cs="Arial"/>
                <w:sz w:val="20"/>
                <w:szCs w:val="20"/>
              </w:rPr>
            </w:pPr>
            <w:r>
              <w:rPr>
                <w:rFonts w:ascii="Arial" w:hAnsi="Arial" w:cs="Arial"/>
                <w:sz w:val="20"/>
                <w:szCs w:val="20"/>
              </w:rPr>
              <w:t>3,274,860,420</w:t>
            </w:r>
          </w:p>
        </w:tc>
      </w:tr>
      <w:tr w:rsidR="00E93074" w:rsidTr="002E65E9">
        <w:tc>
          <w:tcPr>
            <w:tcW w:w="4518" w:type="dxa"/>
          </w:tcPr>
          <w:p w:rsidR="00E93074" w:rsidRDefault="00E93074" w:rsidP="005610CB">
            <w:pPr>
              <w:spacing w:line="360" w:lineRule="auto"/>
              <w:jc w:val="both"/>
              <w:rPr>
                <w:rFonts w:ascii="Arial" w:hAnsi="Arial" w:cs="Arial"/>
                <w:sz w:val="20"/>
                <w:szCs w:val="20"/>
              </w:rPr>
            </w:pPr>
            <w:r>
              <w:rPr>
                <w:rFonts w:ascii="Arial" w:hAnsi="Arial" w:cs="Arial"/>
                <w:sz w:val="20"/>
                <w:szCs w:val="20"/>
              </w:rPr>
              <w:t>4. Charter capital</w:t>
            </w:r>
          </w:p>
        </w:tc>
        <w:tc>
          <w:tcPr>
            <w:tcW w:w="2520" w:type="dxa"/>
          </w:tcPr>
          <w:p w:rsidR="00E93074" w:rsidRDefault="00E93074" w:rsidP="005610CB">
            <w:pPr>
              <w:spacing w:line="360" w:lineRule="auto"/>
              <w:jc w:val="both"/>
              <w:rPr>
                <w:rFonts w:ascii="Arial" w:hAnsi="Arial" w:cs="Arial"/>
                <w:sz w:val="20"/>
                <w:szCs w:val="20"/>
              </w:rPr>
            </w:pPr>
            <w:r>
              <w:rPr>
                <w:rFonts w:ascii="Arial" w:hAnsi="Arial" w:cs="Arial"/>
                <w:sz w:val="20"/>
                <w:szCs w:val="20"/>
              </w:rPr>
              <w:t>30,0391,000,000</w:t>
            </w:r>
          </w:p>
        </w:tc>
        <w:tc>
          <w:tcPr>
            <w:tcW w:w="2538" w:type="dxa"/>
          </w:tcPr>
          <w:p w:rsidR="00E93074" w:rsidRDefault="00E93074" w:rsidP="005610CB">
            <w:pPr>
              <w:spacing w:line="360" w:lineRule="auto"/>
              <w:jc w:val="both"/>
              <w:rPr>
                <w:rFonts w:ascii="Arial" w:hAnsi="Arial" w:cs="Arial"/>
                <w:sz w:val="20"/>
                <w:szCs w:val="20"/>
              </w:rPr>
            </w:pPr>
            <w:r>
              <w:rPr>
                <w:rFonts w:ascii="Arial" w:hAnsi="Arial" w:cs="Arial"/>
                <w:sz w:val="20"/>
                <w:szCs w:val="20"/>
              </w:rPr>
              <w:t>39,8754,000,000</w:t>
            </w:r>
          </w:p>
        </w:tc>
      </w:tr>
    </w:tbl>
    <w:p w:rsidR="00E93074" w:rsidRDefault="00E93074" w:rsidP="005610CB">
      <w:pPr>
        <w:spacing w:line="360" w:lineRule="auto"/>
        <w:jc w:val="both"/>
        <w:rPr>
          <w:rFonts w:ascii="Arial" w:hAnsi="Arial" w:cs="Arial"/>
          <w:sz w:val="20"/>
          <w:szCs w:val="20"/>
        </w:rPr>
      </w:pPr>
    </w:p>
    <w:p w:rsidR="00E93074" w:rsidRDefault="00E93074" w:rsidP="005610CB">
      <w:pPr>
        <w:spacing w:line="360" w:lineRule="auto"/>
        <w:jc w:val="both"/>
        <w:rPr>
          <w:rFonts w:ascii="Arial" w:hAnsi="Arial" w:cs="Arial"/>
          <w:sz w:val="20"/>
          <w:szCs w:val="20"/>
        </w:rPr>
      </w:pPr>
      <w:r>
        <w:rPr>
          <w:rFonts w:ascii="Arial" w:hAnsi="Arial" w:cs="Arial"/>
          <w:sz w:val="20"/>
          <w:szCs w:val="20"/>
        </w:rPr>
        <w:t>Article 2: Approve the plan on Profit distribution of 2019</w:t>
      </w:r>
    </w:p>
    <w:p w:rsidR="00E93074" w:rsidRDefault="00E93074" w:rsidP="005610CB">
      <w:pPr>
        <w:spacing w:line="360" w:lineRule="auto"/>
        <w:jc w:val="both"/>
        <w:rPr>
          <w:rFonts w:ascii="Arial" w:hAnsi="Arial" w:cs="Arial"/>
          <w:sz w:val="20"/>
          <w:szCs w:val="20"/>
        </w:rPr>
      </w:pPr>
      <w:r>
        <w:rPr>
          <w:rFonts w:ascii="Arial" w:hAnsi="Arial" w:cs="Arial"/>
          <w:sz w:val="20"/>
          <w:szCs w:val="20"/>
        </w:rPr>
        <w:t>The annual General Meeting of Shareholders approved the plan on Profit distribution as follows:</w:t>
      </w:r>
    </w:p>
    <w:tbl>
      <w:tblPr>
        <w:tblStyle w:val="TableGrid"/>
        <w:tblW w:w="0" w:type="auto"/>
        <w:tblLook w:val="04A0" w:firstRow="1" w:lastRow="0" w:firstColumn="1" w:lastColumn="0" w:noHBand="0" w:noVBand="1"/>
      </w:tblPr>
      <w:tblGrid>
        <w:gridCol w:w="558"/>
        <w:gridCol w:w="4230"/>
        <w:gridCol w:w="1350"/>
        <w:gridCol w:w="3438"/>
      </w:tblGrid>
      <w:tr w:rsidR="00E93074" w:rsidTr="002E65E9">
        <w:tc>
          <w:tcPr>
            <w:tcW w:w="558" w:type="dxa"/>
          </w:tcPr>
          <w:p w:rsidR="00E93074" w:rsidRDefault="00E93074" w:rsidP="005610CB">
            <w:pPr>
              <w:spacing w:line="360" w:lineRule="auto"/>
              <w:jc w:val="both"/>
              <w:rPr>
                <w:rFonts w:ascii="Arial" w:hAnsi="Arial" w:cs="Arial"/>
                <w:sz w:val="20"/>
                <w:szCs w:val="20"/>
              </w:rPr>
            </w:pPr>
            <w:r>
              <w:rPr>
                <w:rFonts w:ascii="Arial" w:hAnsi="Arial" w:cs="Arial"/>
                <w:sz w:val="20"/>
                <w:szCs w:val="20"/>
              </w:rPr>
              <w:t>No</w:t>
            </w:r>
          </w:p>
        </w:tc>
        <w:tc>
          <w:tcPr>
            <w:tcW w:w="4230" w:type="dxa"/>
          </w:tcPr>
          <w:p w:rsidR="00E93074" w:rsidRDefault="00E93074" w:rsidP="005610CB">
            <w:pPr>
              <w:spacing w:line="360" w:lineRule="auto"/>
              <w:jc w:val="both"/>
              <w:rPr>
                <w:rFonts w:ascii="Arial" w:hAnsi="Arial" w:cs="Arial"/>
                <w:sz w:val="20"/>
                <w:szCs w:val="20"/>
              </w:rPr>
            </w:pPr>
            <w:r>
              <w:rPr>
                <w:rFonts w:ascii="Arial" w:hAnsi="Arial" w:cs="Arial"/>
                <w:sz w:val="20"/>
                <w:szCs w:val="20"/>
              </w:rPr>
              <w:t>Indicator</w:t>
            </w:r>
          </w:p>
        </w:tc>
        <w:tc>
          <w:tcPr>
            <w:tcW w:w="1350" w:type="dxa"/>
          </w:tcPr>
          <w:p w:rsidR="00E93074" w:rsidRDefault="00E93074" w:rsidP="005610CB">
            <w:pPr>
              <w:spacing w:line="360" w:lineRule="auto"/>
              <w:jc w:val="both"/>
              <w:rPr>
                <w:rFonts w:ascii="Arial" w:hAnsi="Arial" w:cs="Arial"/>
                <w:sz w:val="20"/>
                <w:szCs w:val="20"/>
              </w:rPr>
            </w:pPr>
            <w:r>
              <w:rPr>
                <w:rFonts w:ascii="Arial" w:hAnsi="Arial" w:cs="Arial"/>
                <w:sz w:val="20"/>
                <w:szCs w:val="20"/>
              </w:rPr>
              <w:t>Unit</w:t>
            </w:r>
          </w:p>
        </w:tc>
        <w:tc>
          <w:tcPr>
            <w:tcW w:w="3438" w:type="dxa"/>
          </w:tcPr>
          <w:p w:rsidR="00E93074" w:rsidRDefault="00E93074" w:rsidP="005610CB">
            <w:pPr>
              <w:spacing w:line="360" w:lineRule="auto"/>
              <w:jc w:val="both"/>
              <w:rPr>
                <w:rFonts w:ascii="Arial" w:hAnsi="Arial" w:cs="Arial"/>
                <w:sz w:val="20"/>
                <w:szCs w:val="20"/>
              </w:rPr>
            </w:pPr>
            <w:r>
              <w:rPr>
                <w:rFonts w:ascii="Arial" w:hAnsi="Arial" w:cs="Arial"/>
                <w:sz w:val="20"/>
                <w:szCs w:val="20"/>
              </w:rPr>
              <w:t>Realization in 2019</w:t>
            </w:r>
          </w:p>
        </w:tc>
      </w:tr>
      <w:tr w:rsidR="00E93074" w:rsidTr="002E65E9">
        <w:tc>
          <w:tcPr>
            <w:tcW w:w="558" w:type="dxa"/>
          </w:tcPr>
          <w:p w:rsidR="00E93074" w:rsidRPr="00E93074" w:rsidRDefault="00E93074" w:rsidP="00E93074">
            <w:pPr>
              <w:pStyle w:val="ListParagraph"/>
              <w:numPr>
                <w:ilvl w:val="0"/>
                <w:numId w:val="3"/>
              </w:numPr>
              <w:spacing w:line="360" w:lineRule="auto"/>
              <w:ind w:left="0" w:firstLine="0"/>
              <w:rPr>
                <w:rFonts w:ascii="Arial" w:hAnsi="Arial" w:cs="Arial"/>
                <w:sz w:val="20"/>
                <w:szCs w:val="20"/>
              </w:rPr>
            </w:pPr>
          </w:p>
        </w:tc>
        <w:tc>
          <w:tcPr>
            <w:tcW w:w="4230" w:type="dxa"/>
          </w:tcPr>
          <w:p w:rsidR="00E93074" w:rsidRDefault="00E93074" w:rsidP="005610CB">
            <w:pPr>
              <w:spacing w:line="360" w:lineRule="auto"/>
              <w:jc w:val="both"/>
              <w:rPr>
                <w:rFonts w:ascii="Arial" w:hAnsi="Arial" w:cs="Arial"/>
                <w:sz w:val="20"/>
                <w:szCs w:val="20"/>
              </w:rPr>
            </w:pPr>
            <w:r>
              <w:rPr>
                <w:rFonts w:ascii="Arial" w:hAnsi="Arial" w:cs="Arial"/>
                <w:sz w:val="20"/>
                <w:szCs w:val="20"/>
              </w:rPr>
              <w:t>Charter capital</w:t>
            </w:r>
          </w:p>
        </w:tc>
        <w:tc>
          <w:tcPr>
            <w:tcW w:w="1350" w:type="dxa"/>
          </w:tcPr>
          <w:p w:rsidR="00E93074" w:rsidRDefault="00E93074" w:rsidP="005610CB">
            <w:pPr>
              <w:spacing w:line="360" w:lineRule="auto"/>
              <w:jc w:val="both"/>
              <w:rPr>
                <w:rFonts w:ascii="Arial" w:hAnsi="Arial" w:cs="Arial"/>
                <w:sz w:val="20"/>
                <w:szCs w:val="20"/>
              </w:rPr>
            </w:pPr>
            <w:r>
              <w:rPr>
                <w:rFonts w:ascii="Arial" w:hAnsi="Arial" w:cs="Arial"/>
                <w:sz w:val="20"/>
                <w:szCs w:val="20"/>
              </w:rPr>
              <w:t>VND</w:t>
            </w:r>
          </w:p>
        </w:tc>
        <w:tc>
          <w:tcPr>
            <w:tcW w:w="3438" w:type="dxa"/>
          </w:tcPr>
          <w:p w:rsidR="00E93074" w:rsidRDefault="00E93074" w:rsidP="005610CB">
            <w:pPr>
              <w:spacing w:line="360" w:lineRule="auto"/>
              <w:jc w:val="both"/>
              <w:rPr>
                <w:rFonts w:ascii="Arial" w:hAnsi="Arial" w:cs="Arial"/>
                <w:sz w:val="20"/>
                <w:szCs w:val="20"/>
              </w:rPr>
            </w:pPr>
            <w:r>
              <w:rPr>
                <w:rFonts w:ascii="Arial" w:hAnsi="Arial" w:cs="Arial"/>
                <w:sz w:val="20"/>
                <w:szCs w:val="20"/>
              </w:rPr>
              <w:t>30,039,100,000</w:t>
            </w:r>
          </w:p>
        </w:tc>
      </w:tr>
      <w:tr w:rsidR="00E93074" w:rsidTr="002E65E9">
        <w:tc>
          <w:tcPr>
            <w:tcW w:w="558" w:type="dxa"/>
          </w:tcPr>
          <w:p w:rsidR="00E93074" w:rsidRPr="00E93074" w:rsidRDefault="00E93074" w:rsidP="00E93074">
            <w:pPr>
              <w:pStyle w:val="ListParagraph"/>
              <w:numPr>
                <w:ilvl w:val="0"/>
                <w:numId w:val="3"/>
              </w:numPr>
              <w:spacing w:line="360" w:lineRule="auto"/>
              <w:ind w:left="0" w:firstLine="0"/>
              <w:rPr>
                <w:rFonts w:ascii="Arial" w:hAnsi="Arial" w:cs="Arial"/>
                <w:sz w:val="20"/>
                <w:szCs w:val="20"/>
              </w:rPr>
            </w:pPr>
          </w:p>
        </w:tc>
        <w:tc>
          <w:tcPr>
            <w:tcW w:w="4230" w:type="dxa"/>
          </w:tcPr>
          <w:p w:rsidR="00E93074" w:rsidRDefault="00E93074" w:rsidP="00E93074">
            <w:pPr>
              <w:spacing w:line="360" w:lineRule="auto"/>
              <w:jc w:val="both"/>
              <w:rPr>
                <w:rFonts w:ascii="Arial" w:hAnsi="Arial" w:cs="Arial"/>
                <w:sz w:val="20"/>
                <w:szCs w:val="20"/>
              </w:rPr>
            </w:pPr>
            <w:r>
              <w:rPr>
                <w:rFonts w:ascii="Arial" w:hAnsi="Arial" w:cs="Arial"/>
                <w:sz w:val="20"/>
                <w:szCs w:val="20"/>
              </w:rPr>
              <w:t xml:space="preserve">Profit before tax </w:t>
            </w:r>
          </w:p>
        </w:tc>
        <w:tc>
          <w:tcPr>
            <w:tcW w:w="1350" w:type="dxa"/>
          </w:tcPr>
          <w:p w:rsidR="00E93074" w:rsidRDefault="00E93074" w:rsidP="00E93074">
            <w:r w:rsidRPr="00590415">
              <w:rPr>
                <w:rFonts w:ascii="Arial" w:hAnsi="Arial" w:cs="Arial"/>
                <w:sz w:val="20"/>
                <w:szCs w:val="20"/>
              </w:rPr>
              <w:t>VND</w:t>
            </w:r>
          </w:p>
        </w:tc>
        <w:tc>
          <w:tcPr>
            <w:tcW w:w="3438" w:type="dxa"/>
          </w:tcPr>
          <w:p w:rsidR="00E93074" w:rsidRDefault="00E93074" w:rsidP="00E93074">
            <w:pPr>
              <w:spacing w:line="360" w:lineRule="auto"/>
              <w:jc w:val="both"/>
              <w:rPr>
                <w:rFonts w:ascii="Arial" w:hAnsi="Arial" w:cs="Arial"/>
                <w:sz w:val="20"/>
                <w:szCs w:val="20"/>
              </w:rPr>
            </w:pPr>
            <w:r>
              <w:rPr>
                <w:rFonts w:ascii="Arial" w:hAnsi="Arial" w:cs="Arial"/>
                <w:sz w:val="20"/>
                <w:szCs w:val="20"/>
              </w:rPr>
              <w:t>3,954,227,863</w:t>
            </w:r>
          </w:p>
        </w:tc>
      </w:tr>
      <w:tr w:rsidR="00E93074" w:rsidTr="002E65E9">
        <w:tc>
          <w:tcPr>
            <w:tcW w:w="558" w:type="dxa"/>
          </w:tcPr>
          <w:p w:rsidR="00E93074" w:rsidRPr="00E93074" w:rsidRDefault="00E93074" w:rsidP="00E93074">
            <w:pPr>
              <w:pStyle w:val="ListParagraph"/>
              <w:numPr>
                <w:ilvl w:val="0"/>
                <w:numId w:val="3"/>
              </w:numPr>
              <w:spacing w:line="360" w:lineRule="auto"/>
              <w:ind w:left="0" w:firstLine="0"/>
              <w:rPr>
                <w:rFonts w:ascii="Arial" w:hAnsi="Arial" w:cs="Arial"/>
                <w:sz w:val="20"/>
                <w:szCs w:val="20"/>
              </w:rPr>
            </w:pPr>
          </w:p>
        </w:tc>
        <w:tc>
          <w:tcPr>
            <w:tcW w:w="4230" w:type="dxa"/>
          </w:tcPr>
          <w:p w:rsidR="00E93074" w:rsidRDefault="00E93074" w:rsidP="00E93074">
            <w:pPr>
              <w:spacing w:line="360" w:lineRule="auto"/>
              <w:jc w:val="both"/>
              <w:rPr>
                <w:rFonts w:ascii="Arial" w:hAnsi="Arial" w:cs="Arial"/>
                <w:sz w:val="20"/>
                <w:szCs w:val="20"/>
              </w:rPr>
            </w:pPr>
            <w:r>
              <w:rPr>
                <w:rFonts w:ascii="Arial" w:hAnsi="Arial" w:cs="Arial"/>
                <w:sz w:val="20"/>
                <w:szCs w:val="20"/>
              </w:rPr>
              <w:t xml:space="preserve">After-tax profit </w:t>
            </w:r>
          </w:p>
        </w:tc>
        <w:tc>
          <w:tcPr>
            <w:tcW w:w="1350" w:type="dxa"/>
          </w:tcPr>
          <w:p w:rsidR="00E93074" w:rsidRDefault="00E93074" w:rsidP="00E93074">
            <w:r w:rsidRPr="00590415">
              <w:rPr>
                <w:rFonts w:ascii="Arial" w:hAnsi="Arial" w:cs="Arial"/>
                <w:sz w:val="20"/>
                <w:szCs w:val="20"/>
              </w:rPr>
              <w:t>VND</w:t>
            </w:r>
          </w:p>
        </w:tc>
        <w:tc>
          <w:tcPr>
            <w:tcW w:w="3438" w:type="dxa"/>
          </w:tcPr>
          <w:p w:rsidR="00E93074" w:rsidRDefault="00E93074" w:rsidP="00E93074">
            <w:pPr>
              <w:spacing w:line="360" w:lineRule="auto"/>
              <w:jc w:val="both"/>
              <w:rPr>
                <w:rFonts w:ascii="Arial" w:hAnsi="Arial" w:cs="Arial"/>
                <w:sz w:val="20"/>
                <w:szCs w:val="20"/>
              </w:rPr>
            </w:pPr>
            <w:r>
              <w:rPr>
                <w:rFonts w:ascii="Arial" w:hAnsi="Arial" w:cs="Arial"/>
                <w:sz w:val="20"/>
                <w:szCs w:val="20"/>
              </w:rPr>
              <w:t>2,599,647,420</w:t>
            </w:r>
          </w:p>
        </w:tc>
      </w:tr>
      <w:tr w:rsidR="00E93074" w:rsidTr="002E65E9">
        <w:tc>
          <w:tcPr>
            <w:tcW w:w="558" w:type="dxa"/>
          </w:tcPr>
          <w:p w:rsidR="00E93074" w:rsidRPr="00E93074" w:rsidRDefault="00E93074" w:rsidP="00E93074">
            <w:pPr>
              <w:pStyle w:val="ListParagraph"/>
              <w:numPr>
                <w:ilvl w:val="0"/>
                <w:numId w:val="3"/>
              </w:numPr>
              <w:spacing w:line="360" w:lineRule="auto"/>
              <w:ind w:left="0" w:firstLine="0"/>
              <w:rPr>
                <w:rFonts w:ascii="Arial" w:hAnsi="Arial" w:cs="Arial"/>
                <w:sz w:val="20"/>
                <w:szCs w:val="20"/>
              </w:rPr>
            </w:pPr>
          </w:p>
        </w:tc>
        <w:tc>
          <w:tcPr>
            <w:tcW w:w="4230" w:type="dxa"/>
          </w:tcPr>
          <w:p w:rsidR="00E93074" w:rsidRDefault="00E93074" w:rsidP="00E93074">
            <w:pPr>
              <w:spacing w:line="360" w:lineRule="auto"/>
              <w:jc w:val="both"/>
              <w:rPr>
                <w:rFonts w:ascii="Arial" w:hAnsi="Arial" w:cs="Arial"/>
                <w:sz w:val="20"/>
                <w:szCs w:val="20"/>
              </w:rPr>
            </w:pPr>
            <w:r>
              <w:rPr>
                <w:rFonts w:ascii="Arial" w:hAnsi="Arial" w:cs="Arial"/>
                <w:sz w:val="20"/>
                <w:szCs w:val="20"/>
              </w:rPr>
              <w:t>Extraction to funds</w:t>
            </w:r>
          </w:p>
        </w:tc>
        <w:tc>
          <w:tcPr>
            <w:tcW w:w="1350" w:type="dxa"/>
          </w:tcPr>
          <w:p w:rsidR="00E93074" w:rsidRDefault="00E93074" w:rsidP="00E93074">
            <w:r w:rsidRPr="00590415">
              <w:rPr>
                <w:rFonts w:ascii="Arial" w:hAnsi="Arial" w:cs="Arial"/>
                <w:sz w:val="20"/>
                <w:szCs w:val="20"/>
              </w:rPr>
              <w:t>VND</w:t>
            </w:r>
          </w:p>
        </w:tc>
        <w:tc>
          <w:tcPr>
            <w:tcW w:w="3438" w:type="dxa"/>
          </w:tcPr>
          <w:p w:rsidR="00E93074" w:rsidRDefault="00E93074" w:rsidP="00E93074">
            <w:pPr>
              <w:spacing w:line="360" w:lineRule="auto"/>
              <w:jc w:val="both"/>
              <w:rPr>
                <w:rFonts w:ascii="Arial" w:hAnsi="Arial" w:cs="Arial"/>
                <w:sz w:val="20"/>
                <w:szCs w:val="20"/>
              </w:rPr>
            </w:pPr>
            <w:r>
              <w:rPr>
                <w:rFonts w:ascii="Arial" w:hAnsi="Arial" w:cs="Arial"/>
                <w:sz w:val="20"/>
                <w:szCs w:val="20"/>
              </w:rPr>
              <w:t>0</w:t>
            </w:r>
          </w:p>
        </w:tc>
      </w:tr>
      <w:tr w:rsidR="00E93074" w:rsidTr="002E65E9">
        <w:tc>
          <w:tcPr>
            <w:tcW w:w="558" w:type="dxa"/>
          </w:tcPr>
          <w:p w:rsidR="00E93074" w:rsidRPr="00E93074" w:rsidRDefault="00E93074" w:rsidP="00E93074">
            <w:pPr>
              <w:pStyle w:val="ListParagraph"/>
              <w:numPr>
                <w:ilvl w:val="0"/>
                <w:numId w:val="3"/>
              </w:numPr>
              <w:spacing w:line="360" w:lineRule="auto"/>
              <w:ind w:left="0" w:firstLine="0"/>
              <w:rPr>
                <w:rFonts w:ascii="Arial" w:hAnsi="Arial" w:cs="Arial"/>
                <w:sz w:val="20"/>
                <w:szCs w:val="20"/>
              </w:rPr>
            </w:pPr>
          </w:p>
        </w:tc>
        <w:tc>
          <w:tcPr>
            <w:tcW w:w="4230" w:type="dxa"/>
          </w:tcPr>
          <w:p w:rsidR="00E93074" w:rsidRDefault="00E93074" w:rsidP="00E93074">
            <w:pPr>
              <w:spacing w:line="360" w:lineRule="auto"/>
              <w:jc w:val="both"/>
              <w:rPr>
                <w:rFonts w:ascii="Arial" w:hAnsi="Arial" w:cs="Arial"/>
                <w:sz w:val="20"/>
                <w:szCs w:val="20"/>
              </w:rPr>
            </w:pPr>
            <w:r>
              <w:rPr>
                <w:rFonts w:ascii="Arial" w:hAnsi="Arial" w:cs="Arial"/>
                <w:sz w:val="20"/>
                <w:szCs w:val="20"/>
              </w:rPr>
              <w:t>Retained profit of previous year</w:t>
            </w:r>
          </w:p>
        </w:tc>
        <w:tc>
          <w:tcPr>
            <w:tcW w:w="1350" w:type="dxa"/>
          </w:tcPr>
          <w:p w:rsidR="00E93074" w:rsidRDefault="00E93074" w:rsidP="00E93074">
            <w:r w:rsidRPr="00590415">
              <w:rPr>
                <w:rFonts w:ascii="Arial" w:hAnsi="Arial" w:cs="Arial"/>
                <w:sz w:val="20"/>
                <w:szCs w:val="20"/>
              </w:rPr>
              <w:t>VND</w:t>
            </w:r>
          </w:p>
        </w:tc>
        <w:tc>
          <w:tcPr>
            <w:tcW w:w="3438" w:type="dxa"/>
          </w:tcPr>
          <w:p w:rsidR="00E93074" w:rsidRDefault="00E93074" w:rsidP="00E93074">
            <w:pPr>
              <w:spacing w:line="360" w:lineRule="auto"/>
              <w:jc w:val="both"/>
              <w:rPr>
                <w:rFonts w:ascii="Arial" w:hAnsi="Arial" w:cs="Arial"/>
                <w:sz w:val="20"/>
                <w:szCs w:val="20"/>
              </w:rPr>
            </w:pPr>
            <w:r>
              <w:rPr>
                <w:rFonts w:ascii="Arial" w:hAnsi="Arial" w:cs="Arial"/>
                <w:sz w:val="20"/>
                <w:szCs w:val="20"/>
              </w:rPr>
              <w:t>1,608,130,673</w:t>
            </w:r>
          </w:p>
        </w:tc>
      </w:tr>
      <w:tr w:rsidR="00E93074" w:rsidTr="002E65E9">
        <w:tc>
          <w:tcPr>
            <w:tcW w:w="558" w:type="dxa"/>
          </w:tcPr>
          <w:p w:rsidR="00E93074" w:rsidRPr="00E93074" w:rsidRDefault="00E93074" w:rsidP="00E93074">
            <w:pPr>
              <w:pStyle w:val="ListParagraph"/>
              <w:numPr>
                <w:ilvl w:val="0"/>
                <w:numId w:val="3"/>
              </w:numPr>
              <w:spacing w:line="360" w:lineRule="auto"/>
              <w:ind w:left="0" w:firstLine="0"/>
              <w:rPr>
                <w:rFonts w:ascii="Arial" w:hAnsi="Arial" w:cs="Arial"/>
                <w:sz w:val="20"/>
                <w:szCs w:val="20"/>
              </w:rPr>
            </w:pPr>
          </w:p>
        </w:tc>
        <w:tc>
          <w:tcPr>
            <w:tcW w:w="4230" w:type="dxa"/>
          </w:tcPr>
          <w:p w:rsidR="00E93074" w:rsidRDefault="00E93074" w:rsidP="00E93074">
            <w:pPr>
              <w:spacing w:line="360" w:lineRule="auto"/>
              <w:jc w:val="both"/>
              <w:rPr>
                <w:rFonts w:ascii="Arial" w:hAnsi="Arial" w:cs="Arial"/>
                <w:sz w:val="20"/>
                <w:szCs w:val="20"/>
              </w:rPr>
            </w:pPr>
            <w:r>
              <w:rPr>
                <w:rFonts w:ascii="Arial" w:hAnsi="Arial" w:cs="Arial"/>
                <w:sz w:val="20"/>
                <w:szCs w:val="20"/>
              </w:rPr>
              <w:t xml:space="preserve">2019 dividend payment </w:t>
            </w:r>
          </w:p>
        </w:tc>
        <w:tc>
          <w:tcPr>
            <w:tcW w:w="1350" w:type="dxa"/>
          </w:tcPr>
          <w:p w:rsidR="00E93074" w:rsidRDefault="00E93074" w:rsidP="00E93074">
            <w:r w:rsidRPr="00590415">
              <w:rPr>
                <w:rFonts w:ascii="Arial" w:hAnsi="Arial" w:cs="Arial"/>
                <w:sz w:val="20"/>
                <w:szCs w:val="20"/>
              </w:rPr>
              <w:t>VND</w:t>
            </w:r>
          </w:p>
        </w:tc>
        <w:tc>
          <w:tcPr>
            <w:tcW w:w="3438" w:type="dxa"/>
          </w:tcPr>
          <w:p w:rsidR="00E93074" w:rsidRDefault="00E93074" w:rsidP="00E93074">
            <w:pPr>
              <w:spacing w:line="360" w:lineRule="auto"/>
              <w:jc w:val="both"/>
              <w:rPr>
                <w:rFonts w:ascii="Arial" w:hAnsi="Arial" w:cs="Arial"/>
                <w:sz w:val="20"/>
                <w:szCs w:val="20"/>
              </w:rPr>
            </w:pPr>
            <w:r>
              <w:rPr>
                <w:rFonts w:ascii="Arial" w:hAnsi="Arial" w:cs="Arial"/>
                <w:sz w:val="20"/>
                <w:szCs w:val="20"/>
              </w:rPr>
              <w:t>2,984,910,000</w:t>
            </w:r>
          </w:p>
        </w:tc>
      </w:tr>
      <w:tr w:rsidR="00E93074" w:rsidTr="002E65E9">
        <w:tc>
          <w:tcPr>
            <w:tcW w:w="558" w:type="dxa"/>
          </w:tcPr>
          <w:p w:rsidR="00E93074" w:rsidRPr="00E93074" w:rsidRDefault="00E93074" w:rsidP="00E93074">
            <w:pPr>
              <w:pStyle w:val="ListParagraph"/>
              <w:numPr>
                <w:ilvl w:val="0"/>
                <w:numId w:val="3"/>
              </w:numPr>
              <w:spacing w:line="360" w:lineRule="auto"/>
              <w:ind w:left="0" w:firstLine="0"/>
              <w:rPr>
                <w:rFonts w:ascii="Arial" w:hAnsi="Arial" w:cs="Arial"/>
                <w:sz w:val="20"/>
                <w:szCs w:val="20"/>
              </w:rPr>
            </w:pPr>
          </w:p>
        </w:tc>
        <w:tc>
          <w:tcPr>
            <w:tcW w:w="4230" w:type="dxa"/>
          </w:tcPr>
          <w:p w:rsidR="00E93074" w:rsidRDefault="00E93074" w:rsidP="00E93074">
            <w:pPr>
              <w:spacing w:line="360" w:lineRule="auto"/>
              <w:jc w:val="both"/>
              <w:rPr>
                <w:rFonts w:ascii="Arial" w:hAnsi="Arial" w:cs="Arial"/>
                <w:sz w:val="20"/>
                <w:szCs w:val="20"/>
              </w:rPr>
            </w:pPr>
            <w:r>
              <w:rPr>
                <w:rFonts w:ascii="Arial" w:hAnsi="Arial" w:cs="Arial"/>
                <w:sz w:val="20"/>
                <w:szCs w:val="20"/>
              </w:rPr>
              <w:t>Retained profit</w:t>
            </w:r>
          </w:p>
        </w:tc>
        <w:tc>
          <w:tcPr>
            <w:tcW w:w="1350" w:type="dxa"/>
          </w:tcPr>
          <w:p w:rsidR="00E93074" w:rsidRDefault="00E93074" w:rsidP="00E93074">
            <w:r w:rsidRPr="00590415">
              <w:rPr>
                <w:rFonts w:ascii="Arial" w:hAnsi="Arial" w:cs="Arial"/>
                <w:sz w:val="20"/>
                <w:szCs w:val="20"/>
              </w:rPr>
              <w:t>VND</w:t>
            </w:r>
          </w:p>
        </w:tc>
        <w:tc>
          <w:tcPr>
            <w:tcW w:w="3438" w:type="dxa"/>
          </w:tcPr>
          <w:p w:rsidR="00E93074" w:rsidRDefault="00E93074" w:rsidP="00E93074">
            <w:pPr>
              <w:spacing w:line="360" w:lineRule="auto"/>
              <w:jc w:val="both"/>
              <w:rPr>
                <w:rFonts w:ascii="Arial" w:hAnsi="Arial" w:cs="Arial"/>
                <w:sz w:val="20"/>
                <w:szCs w:val="20"/>
              </w:rPr>
            </w:pPr>
            <w:r>
              <w:rPr>
                <w:rFonts w:ascii="Arial" w:hAnsi="Arial" w:cs="Arial"/>
                <w:sz w:val="20"/>
                <w:szCs w:val="20"/>
              </w:rPr>
              <w:t>1,222,868,093</w:t>
            </w:r>
          </w:p>
        </w:tc>
      </w:tr>
    </w:tbl>
    <w:p w:rsidR="00E93074" w:rsidRDefault="00E93074" w:rsidP="005610CB">
      <w:pPr>
        <w:spacing w:line="360" w:lineRule="auto"/>
        <w:jc w:val="both"/>
        <w:rPr>
          <w:rFonts w:ascii="Arial" w:hAnsi="Arial" w:cs="Arial"/>
          <w:sz w:val="20"/>
          <w:szCs w:val="20"/>
        </w:rPr>
      </w:pPr>
    </w:p>
    <w:p w:rsidR="00E93074" w:rsidRDefault="00E93074" w:rsidP="005610CB">
      <w:pPr>
        <w:spacing w:line="360" w:lineRule="auto"/>
        <w:jc w:val="both"/>
        <w:rPr>
          <w:rFonts w:ascii="Arial" w:hAnsi="Arial" w:cs="Arial"/>
          <w:sz w:val="20"/>
          <w:szCs w:val="20"/>
        </w:rPr>
      </w:pPr>
      <w:r w:rsidRPr="00E93074">
        <w:rPr>
          <w:rFonts w:ascii="Arial" w:hAnsi="Arial" w:cs="Arial"/>
          <w:sz w:val="20"/>
          <w:szCs w:val="20"/>
        </w:rPr>
        <w:t>Article 3</w:t>
      </w:r>
      <w:r>
        <w:rPr>
          <w:rFonts w:ascii="Arial" w:hAnsi="Arial" w:cs="Arial"/>
          <w:sz w:val="20"/>
          <w:szCs w:val="20"/>
        </w:rPr>
        <w:t>:</w:t>
      </w:r>
      <w:r w:rsidRPr="00E93074">
        <w:rPr>
          <w:rFonts w:ascii="Arial" w:hAnsi="Arial" w:cs="Arial"/>
          <w:sz w:val="20"/>
          <w:szCs w:val="20"/>
        </w:rPr>
        <w:t xml:space="preserve"> Approving the report of the Board of Directors, the Supervisory Board</w:t>
      </w:r>
      <w:r>
        <w:rPr>
          <w:rFonts w:ascii="Arial" w:hAnsi="Arial" w:cs="Arial"/>
          <w:sz w:val="20"/>
          <w:szCs w:val="20"/>
        </w:rPr>
        <w:t xml:space="preserve"> in 2019 and the plan for 2020</w:t>
      </w:r>
    </w:p>
    <w:p w:rsidR="00E93074" w:rsidRDefault="00E93074" w:rsidP="005610CB">
      <w:pPr>
        <w:spacing w:line="360" w:lineRule="auto"/>
        <w:jc w:val="both"/>
        <w:rPr>
          <w:rFonts w:ascii="Arial" w:hAnsi="Arial" w:cs="Arial"/>
          <w:sz w:val="20"/>
          <w:szCs w:val="20"/>
        </w:rPr>
      </w:pPr>
      <w:r>
        <w:rPr>
          <w:rFonts w:ascii="Arial" w:hAnsi="Arial" w:cs="Arial"/>
          <w:sz w:val="20"/>
          <w:szCs w:val="20"/>
        </w:rPr>
        <w:t>Article 4: Approving the plan on</w:t>
      </w:r>
      <w:r w:rsidRPr="00E93074">
        <w:rPr>
          <w:rFonts w:ascii="Arial" w:hAnsi="Arial" w:cs="Arial"/>
          <w:sz w:val="20"/>
          <w:szCs w:val="20"/>
        </w:rPr>
        <w:t xml:space="preserve"> issuing shares to increase t</w:t>
      </w:r>
      <w:r>
        <w:rPr>
          <w:rFonts w:ascii="Arial" w:hAnsi="Arial" w:cs="Arial"/>
          <w:sz w:val="20"/>
          <w:szCs w:val="20"/>
        </w:rPr>
        <w:t>he charter capital from VND 30.0391 billion to VND 39.8754 billion</w:t>
      </w:r>
    </w:p>
    <w:p w:rsidR="00427859" w:rsidRDefault="00E93074" w:rsidP="005610CB">
      <w:pPr>
        <w:spacing w:line="360" w:lineRule="auto"/>
        <w:jc w:val="both"/>
        <w:rPr>
          <w:rFonts w:ascii="Arial" w:hAnsi="Arial" w:cs="Arial"/>
          <w:sz w:val="20"/>
          <w:szCs w:val="20"/>
        </w:rPr>
      </w:pPr>
      <w:r w:rsidRPr="00E93074">
        <w:rPr>
          <w:rFonts w:ascii="Arial" w:hAnsi="Arial" w:cs="Arial"/>
          <w:sz w:val="20"/>
          <w:szCs w:val="20"/>
        </w:rPr>
        <w:t xml:space="preserve">- Expected number of shares </w:t>
      </w:r>
      <w:r w:rsidR="00427859">
        <w:rPr>
          <w:rFonts w:ascii="Arial" w:hAnsi="Arial" w:cs="Arial"/>
          <w:sz w:val="20"/>
          <w:szCs w:val="20"/>
        </w:rPr>
        <w:t>to be issued: 983,630 shares</w:t>
      </w:r>
    </w:p>
    <w:p w:rsidR="00427859" w:rsidRDefault="00E93074" w:rsidP="005610CB">
      <w:pPr>
        <w:spacing w:line="360" w:lineRule="auto"/>
        <w:jc w:val="both"/>
        <w:rPr>
          <w:rFonts w:ascii="Arial" w:hAnsi="Arial" w:cs="Arial"/>
          <w:sz w:val="20"/>
          <w:szCs w:val="20"/>
        </w:rPr>
      </w:pPr>
      <w:r w:rsidRPr="00E93074">
        <w:rPr>
          <w:rFonts w:ascii="Arial" w:hAnsi="Arial" w:cs="Arial"/>
          <w:sz w:val="20"/>
          <w:szCs w:val="20"/>
        </w:rPr>
        <w:t xml:space="preserve">- Total </w:t>
      </w:r>
      <w:r w:rsidR="00427859">
        <w:rPr>
          <w:rFonts w:ascii="Arial" w:hAnsi="Arial" w:cs="Arial"/>
          <w:sz w:val="20"/>
          <w:szCs w:val="20"/>
        </w:rPr>
        <w:t xml:space="preserve">par value: VND </w:t>
      </w:r>
      <w:r w:rsidRPr="00E93074">
        <w:rPr>
          <w:rFonts w:ascii="Arial" w:hAnsi="Arial" w:cs="Arial"/>
          <w:sz w:val="20"/>
          <w:szCs w:val="20"/>
        </w:rPr>
        <w:t>9</w:t>
      </w:r>
      <w:r w:rsidR="00427859">
        <w:rPr>
          <w:rFonts w:ascii="Arial" w:hAnsi="Arial" w:cs="Arial"/>
          <w:sz w:val="20"/>
          <w:szCs w:val="20"/>
        </w:rPr>
        <w:t>,</w:t>
      </w:r>
      <w:r w:rsidRPr="00E93074">
        <w:rPr>
          <w:rFonts w:ascii="Arial" w:hAnsi="Arial" w:cs="Arial"/>
          <w:sz w:val="20"/>
          <w:szCs w:val="20"/>
        </w:rPr>
        <w:t>836</w:t>
      </w:r>
      <w:r w:rsidR="00427859">
        <w:rPr>
          <w:rFonts w:ascii="Arial" w:hAnsi="Arial" w:cs="Arial"/>
          <w:sz w:val="20"/>
          <w:szCs w:val="20"/>
        </w:rPr>
        <w:t>,</w:t>
      </w:r>
      <w:r w:rsidRPr="00E93074">
        <w:rPr>
          <w:rFonts w:ascii="Arial" w:hAnsi="Arial" w:cs="Arial"/>
          <w:sz w:val="20"/>
          <w:szCs w:val="20"/>
        </w:rPr>
        <w:t>300</w:t>
      </w:r>
      <w:r w:rsidR="00427859">
        <w:rPr>
          <w:rFonts w:ascii="Arial" w:hAnsi="Arial" w:cs="Arial"/>
          <w:sz w:val="20"/>
          <w:szCs w:val="20"/>
        </w:rPr>
        <w:t>,</w:t>
      </w:r>
      <w:r w:rsidRPr="00E93074">
        <w:rPr>
          <w:rFonts w:ascii="Arial" w:hAnsi="Arial" w:cs="Arial"/>
          <w:sz w:val="20"/>
          <w:szCs w:val="20"/>
        </w:rPr>
        <w:t xml:space="preserve">000 </w:t>
      </w:r>
    </w:p>
    <w:p w:rsidR="00427859" w:rsidRDefault="00E93074" w:rsidP="005610CB">
      <w:pPr>
        <w:spacing w:line="360" w:lineRule="auto"/>
        <w:jc w:val="both"/>
        <w:rPr>
          <w:rFonts w:ascii="Arial" w:hAnsi="Arial" w:cs="Arial"/>
          <w:sz w:val="20"/>
          <w:szCs w:val="20"/>
        </w:rPr>
      </w:pPr>
      <w:r w:rsidRPr="00E93074">
        <w:rPr>
          <w:rFonts w:ascii="Arial" w:hAnsi="Arial" w:cs="Arial"/>
          <w:sz w:val="20"/>
          <w:szCs w:val="20"/>
        </w:rPr>
        <w:t xml:space="preserve">- Form of issuance: Offering shares to </w:t>
      </w:r>
      <w:r w:rsidR="00427859">
        <w:rPr>
          <w:rFonts w:ascii="Arial" w:hAnsi="Arial" w:cs="Arial"/>
          <w:sz w:val="20"/>
          <w:szCs w:val="20"/>
        </w:rPr>
        <w:t>existing shareholders and ESOP</w:t>
      </w:r>
    </w:p>
    <w:p w:rsidR="00427859" w:rsidRDefault="00427859" w:rsidP="005610CB">
      <w:pPr>
        <w:spacing w:line="360" w:lineRule="auto"/>
        <w:jc w:val="both"/>
        <w:rPr>
          <w:rFonts w:ascii="Arial" w:hAnsi="Arial" w:cs="Arial"/>
          <w:sz w:val="20"/>
          <w:szCs w:val="20"/>
        </w:rPr>
      </w:pPr>
      <w:r>
        <w:rPr>
          <w:rFonts w:ascii="Arial" w:hAnsi="Arial" w:cs="Arial"/>
          <w:sz w:val="20"/>
          <w:szCs w:val="20"/>
        </w:rPr>
        <w:lastRenderedPageBreak/>
        <w:t xml:space="preserve">a) Plan on issuing shares to </w:t>
      </w:r>
      <w:r w:rsidR="00E93074" w:rsidRPr="00E93074">
        <w:rPr>
          <w:rFonts w:ascii="Arial" w:hAnsi="Arial" w:cs="Arial"/>
          <w:sz w:val="20"/>
          <w:szCs w:val="20"/>
        </w:rPr>
        <w:t xml:space="preserve">existing shareholders: </w:t>
      </w:r>
    </w:p>
    <w:p w:rsidR="00427859" w:rsidRDefault="00E93074" w:rsidP="005610CB">
      <w:pPr>
        <w:spacing w:line="360" w:lineRule="auto"/>
        <w:jc w:val="both"/>
        <w:rPr>
          <w:rFonts w:ascii="Arial" w:hAnsi="Arial" w:cs="Arial"/>
          <w:sz w:val="20"/>
          <w:szCs w:val="20"/>
        </w:rPr>
      </w:pPr>
      <w:r w:rsidRPr="00E93074">
        <w:rPr>
          <w:rFonts w:ascii="Arial" w:hAnsi="Arial" w:cs="Arial"/>
          <w:sz w:val="20"/>
          <w:szCs w:val="20"/>
        </w:rPr>
        <w:t xml:space="preserve">- Issuing ratio: 10: 3 </w:t>
      </w:r>
    </w:p>
    <w:p w:rsidR="00427859" w:rsidRDefault="00E93074" w:rsidP="005610CB">
      <w:pPr>
        <w:spacing w:line="360" w:lineRule="auto"/>
        <w:jc w:val="both"/>
        <w:rPr>
          <w:rFonts w:ascii="Arial" w:hAnsi="Arial" w:cs="Arial"/>
          <w:sz w:val="20"/>
          <w:szCs w:val="20"/>
        </w:rPr>
      </w:pPr>
      <w:r w:rsidRPr="00E93074">
        <w:rPr>
          <w:rFonts w:ascii="Arial" w:hAnsi="Arial" w:cs="Arial"/>
          <w:sz w:val="20"/>
          <w:szCs w:val="20"/>
        </w:rPr>
        <w:t xml:space="preserve">- Expected offering price: </w:t>
      </w:r>
      <w:r w:rsidR="00427859" w:rsidRPr="00E93074">
        <w:rPr>
          <w:rFonts w:ascii="Arial" w:hAnsi="Arial" w:cs="Arial"/>
          <w:sz w:val="20"/>
          <w:szCs w:val="20"/>
        </w:rPr>
        <w:t xml:space="preserve">VND </w:t>
      </w:r>
      <w:r w:rsidR="00427859">
        <w:rPr>
          <w:rFonts w:ascii="Arial" w:hAnsi="Arial" w:cs="Arial"/>
          <w:sz w:val="20"/>
          <w:szCs w:val="20"/>
        </w:rPr>
        <w:t>10,</w:t>
      </w:r>
      <w:r w:rsidRPr="00E93074">
        <w:rPr>
          <w:rFonts w:ascii="Arial" w:hAnsi="Arial" w:cs="Arial"/>
          <w:sz w:val="20"/>
          <w:szCs w:val="20"/>
        </w:rPr>
        <w:t>000</w:t>
      </w:r>
      <w:r w:rsidR="00427859">
        <w:rPr>
          <w:rFonts w:ascii="Arial" w:hAnsi="Arial" w:cs="Arial"/>
          <w:sz w:val="20"/>
          <w:szCs w:val="20"/>
        </w:rPr>
        <w:t>/ share</w:t>
      </w:r>
    </w:p>
    <w:p w:rsidR="00427859" w:rsidRDefault="00E93074" w:rsidP="005610CB">
      <w:pPr>
        <w:spacing w:line="360" w:lineRule="auto"/>
        <w:jc w:val="both"/>
        <w:rPr>
          <w:rFonts w:ascii="Arial" w:hAnsi="Arial" w:cs="Arial"/>
          <w:sz w:val="20"/>
          <w:szCs w:val="20"/>
        </w:rPr>
      </w:pPr>
      <w:r w:rsidRPr="00E93074">
        <w:rPr>
          <w:rFonts w:ascii="Arial" w:hAnsi="Arial" w:cs="Arial"/>
          <w:sz w:val="20"/>
          <w:szCs w:val="20"/>
        </w:rPr>
        <w:t>- Total shares</w:t>
      </w:r>
      <w:r w:rsidR="00427859" w:rsidRPr="00427859">
        <w:rPr>
          <w:rFonts w:ascii="Arial" w:hAnsi="Arial" w:cs="Arial"/>
          <w:sz w:val="20"/>
          <w:szCs w:val="20"/>
        </w:rPr>
        <w:t xml:space="preserve"> </w:t>
      </w:r>
      <w:r w:rsidR="00427859" w:rsidRPr="00E93074">
        <w:rPr>
          <w:rFonts w:ascii="Arial" w:hAnsi="Arial" w:cs="Arial"/>
          <w:sz w:val="20"/>
          <w:szCs w:val="20"/>
        </w:rPr>
        <w:t>expected</w:t>
      </w:r>
      <w:r w:rsidR="00427859">
        <w:rPr>
          <w:rFonts w:ascii="Arial" w:hAnsi="Arial" w:cs="Arial"/>
          <w:sz w:val="20"/>
          <w:szCs w:val="20"/>
        </w:rPr>
        <w:t xml:space="preserve"> to be issued: 843,</w:t>
      </w:r>
      <w:r w:rsidRPr="00E93074">
        <w:rPr>
          <w:rFonts w:ascii="Arial" w:hAnsi="Arial" w:cs="Arial"/>
          <w:sz w:val="20"/>
          <w:szCs w:val="20"/>
        </w:rPr>
        <w:t xml:space="preserve">630 shares </w:t>
      </w:r>
    </w:p>
    <w:p w:rsidR="00427859" w:rsidRDefault="00E93074" w:rsidP="005610CB">
      <w:pPr>
        <w:spacing w:line="360" w:lineRule="auto"/>
        <w:jc w:val="both"/>
        <w:rPr>
          <w:rFonts w:ascii="Arial" w:hAnsi="Arial" w:cs="Arial"/>
          <w:sz w:val="20"/>
          <w:szCs w:val="20"/>
        </w:rPr>
      </w:pPr>
      <w:r w:rsidRPr="00E93074">
        <w:rPr>
          <w:rFonts w:ascii="Arial" w:hAnsi="Arial" w:cs="Arial"/>
          <w:sz w:val="20"/>
          <w:szCs w:val="20"/>
        </w:rPr>
        <w:t xml:space="preserve">b) ESOP issuance plan: </w:t>
      </w:r>
    </w:p>
    <w:p w:rsidR="00427859" w:rsidRDefault="00E93074" w:rsidP="005610CB">
      <w:pPr>
        <w:spacing w:line="360" w:lineRule="auto"/>
        <w:jc w:val="both"/>
        <w:rPr>
          <w:rFonts w:ascii="Arial" w:hAnsi="Arial" w:cs="Arial"/>
          <w:sz w:val="20"/>
          <w:szCs w:val="20"/>
        </w:rPr>
      </w:pPr>
      <w:r w:rsidRPr="00E93074">
        <w:rPr>
          <w:rFonts w:ascii="Arial" w:hAnsi="Arial" w:cs="Arial"/>
          <w:sz w:val="20"/>
          <w:szCs w:val="20"/>
        </w:rPr>
        <w:t xml:space="preserve">- Expected </w:t>
      </w:r>
      <w:r w:rsidR="00427859">
        <w:rPr>
          <w:rFonts w:ascii="Arial" w:hAnsi="Arial" w:cs="Arial"/>
          <w:sz w:val="20"/>
          <w:szCs w:val="20"/>
        </w:rPr>
        <w:t xml:space="preserve">offering </w:t>
      </w:r>
      <w:r w:rsidRPr="00E93074">
        <w:rPr>
          <w:rFonts w:ascii="Arial" w:hAnsi="Arial" w:cs="Arial"/>
          <w:sz w:val="20"/>
          <w:szCs w:val="20"/>
        </w:rPr>
        <w:t xml:space="preserve">price: </w:t>
      </w:r>
      <w:r w:rsidR="00427859" w:rsidRPr="00E93074">
        <w:rPr>
          <w:rFonts w:ascii="Arial" w:hAnsi="Arial" w:cs="Arial"/>
          <w:sz w:val="20"/>
          <w:szCs w:val="20"/>
        </w:rPr>
        <w:t xml:space="preserve">VND </w:t>
      </w:r>
      <w:r w:rsidR="00427859">
        <w:rPr>
          <w:rFonts w:ascii="Arial" w:hAnsi="Arial" w:cs="Arial"/>
          <w:sz w:val="20"/>
          <w:szCs w:val="20"/>
        </w:rPr>
        <w:t>10,500/ share</w:t>
      </w:r>
    </w:p>
    <w:p w:rsidR="00427859" w:rsidRDefault="00E93074" w:rsidP="005610CB">
      <w:pPr>
        <w:spacing w:line="360" w:lineRule="auto"/>
        <w:jc w:val="both"/>
        <w:rPr>
          <w:rFonts w:ascii="Arial" w:hAnsi="Arial" w:cs="Arial"/>
          <w:sz w:val="20"/>
          <w:szCs w:val="20"/>
        </w:rPr>
      </w:pPr>
      <w:r w:rsidRPr="00E93074">
        <w:rPr>
          <w:rFonts w:ascii="Arial" w:hAnsi="Arial" w:cs="Arial"/>
          <w:sz w:val="20"/>
          <w:szCs w:val="20"/>
        </w:rPr>
        <w:t>- Total shares</w:t>
      </w:r>
      <w:r w:rsidR="00427859" w:rsidRPr="00427859">
        <w:rPr>
          <w:rFonts w:ascii="Arial" w:hAnsi="Arial" w:cs="Arial"/>
          <w:sz w:val="20"/>
          <w:szCs w:val="20"/>
        </w:rPr>
        <w:t xml:space="preserve"> </w:t>
      </w:r>
      <w:r w:rsidR="00427859" w:rsidRPr="00E93074">
        <w:rPr>
          <w:rFonts w:ascii="Arial" w:hAnsi="Arial" w:cs="Arial"/>
          <w:sz w:val="20"/>
          <w:szCs w:val="20"/>
        </w:rPr>
        <w:t>expected</w:t>
      </w:r>
      <w:r w:rsidR="00427859">
        <w:rPr>
          <w:rFonts w:ascii="Arial" w:hAnsi="Arial" w:cs="Arial"/>
          <w:sz w:val="20"/>
          <w:szCs w:val="20"/>
        </w:rPr>
        <w:t xml:space="preserve"> to be issued</w:t>
      </w:r>
      <w:r w:rsidRPr="00E93074">
        <w:rPr>
          <w:rFonts w:ascii="Arial" w:hAnsi="Arial" w:cs="Arial"/>
          <w:sz w:val="20"/>
          <w:szCs w:val="20"/>
        </w:rPr>
        <w:t>:</w:t>
      </w:r>
      <w:r w:rsidR="00427859">
        <w:rPr>
          <w:rFonts w:ascii="Arial" w:hAnsi="Arial" w:cs="Arial"/>
          <w:sz w:val="20"/>
          <w:szCs w:val="20"/>
        </w:rPr>
        <w:t xml:space="preserve"> 140,</w:t>
      </w:r>
      <w:r w:rsidRPr="00E93074">
        <w:rPr>
          <w:rFonts w:ascii="Arial" w:hAnsi="Arial" w:cs="Arial"/>
          <w:sz w:val="20"/>
          <w:szCs w:val="20"/>
        </w:rPr>
        <w:t xml:space="preserve">000 shares </w:t>
      </w:r>
    </w:p>
    <w:p w:rsidR="00427859" w:rsidRDefault="00E93074" w:rsidP="005610CB">
      <w:pPr>
        <w:spacing w:line="360" w:lineRule="auto"/>
        <w:jc w:val="both"/>
        <w:rPr>
          <w:rFonts w:ascii="Arial" w:hAnsi="Arial" w:cs="Arial"/>
          <w:sz w:val="20"/>
          <w:szCs w:val="20"/>
        </w:rPr>
      </w:pPr>
      <w:r w:rsidRPr="00E93074">
        <w:rPr>
          <w:rFonts w:ascii="Arial" w:hAnsi="Arial" w:cs="Arial"/>
          <w:sz w:val="20"/>
          <w:szCs w:val="20"/>
        </w:rPr>
        <w:t>Details are shown in the</w:t>
      </w:r>
      <w:r w:rsidR="00427859">
        <w:rPr>
          <w:rFonts w:ascii="Arial" w:hAnsi="Arial" w:cs="Arial"/>
          <w:sz w:val="20"/>
          <w:szCs w:val="20"/>
        </w:rPr>
        <w:t xml:space="preserve"> attached share issuance plan. </w:t>
      </w:r>
      <w:r w:rsidRPr="00E93074">
        <w:rPr>
          <w:rFonts w:ascii="Arial" w:hAnsi="Arial" w:cs="Arial"/>
          <w:sz w:val="20"/>
          <w:szCs w:val="20"/>
        </w:rPr>
        <w:t xml:space="preserve">The </w:t>
      </w:r>
      <w:r w:rsidR="00427859">
        <w:rPr>
          <w:rFonts w:ascii="Arial" w:hAnsi="Arial" w:cs="Arial"/>
          <w:sz w:val="20"/>
          <w:szCs w:val="20"/>
        </w:rPr>
        <w:t>annual General Meeting of Shareholders</w:t>
      </w:r>
      <w:r w:rsidRPr="00E93074">
        <w:rPr>
          <w:rFonts w:ascii="Arial" w:hAnsi="Arial" w:cs="Arial"/>
          <w:sz w:val="20"/>
          <w:szCs w:val="20"/>
        </w:rPr>
        <w:t xml:space="preserve"> agreed to authorize the Board of Directors to amend, supplement or change the issuance plan at the request of the management agencies and the needs of </w:t>
      </w:r>
      <w:r w:rsidR="00427859">
        <w:rPr>
          <w:rFonts w:ascii="Arial" w:hAnsi="Arial" w:cs="Arial"/>
          <w:sz w:val="20"/>
          <w:szCs w:val="20"/>
        </w:rPr>
        <w:t>the Company</w:t>
      </w:r>
      <w:r w:rsidRPr="00E93074">
        <w:rPr>
          <w:rFonts w:ascii="Arial" w:hAnsi="Arial" w:cs="Arial"/>
          <w:sz w:val="20"/>
          <w:szCs w:val="20"/>
        </w:rPr>
        <w:t xml:space="preserve"> so that the issuance to increase capital of the Company is </w:t>
      </w:r>
      <w:r w:rsidR="00427859">
        <w:rPr>
          <w:rFonts w:ascii="Arial" w:hAnsi="Arial" w:cs="Arial"/>
          <w:sz w:val="20"/>
          <w:szCs w:val="20"/>
        </w:rPr>
        <w:t>implemented</w:t>
      </w:r>
      <w:r w:rsidRPr="00E93074">
        <w:rPr>
          <w:rFonts w:ascii="Arial" w:hAnsi="Arial" w:cs="Arial"/>
          <w:sz w:val="20"/>
          <w:szCs w:val="20"/>
        </w:rPr>
        <w:t xml:space="preserve"> logically, legally and in accordance with regulations</w:t>
      </w:r>
    </w:p>
    <w:p w:rsidR="00427859" w:rsidRDefault="00E93074" w:rsidP="005610CB">
      <w:pPr>
        <w:spacing w:line="360" w:lineRule="auto"/>
        <w:jc w:val="both"/>
        <w:rPr>
          <w:rFonts w:ascii="Arial" w:hAnsi="Arial" w:cs="Arial"/>
          <w:sz w:val="20"/>
          <w:szCs w:val="20"/>
        </w:rPr>
      </w:pPr>
      <w:r w:rsidRPr="00E93074">
        <w:rPr>
          <w:rFonts w:ascii="Arial" w:hAnsi="Arial" w:cs="Arial"/>
          <w:sz w:val="20"/>
          <w:szCs w:val="20"/>
        </w:rPr>
        <w:t xml:space="preserve">Authorize the Board of Directors to decide the list of selected employees to buy </w:t>
      </w:r>
      <w:r w:rsidR="00427859">
        <w:rPr>
          <w:rFonts w:ascii="Arial" w:hAnsi="Arial" w:cs="Arial"/>
          <w:sz w:val="20"/>
          <w:szCs w:val="20"/>
        </w:rPr>
        <w:t>shares</w:t>
      </w:r>
    </w:p>
    <w:p w:rsidR="00E93074" w:rsidRDefault="00427859" w:rsidP="005610CB">
      <w:pPr>
        <w:spacing w:line="360" w:lineRule="auto"/>
        <w:jc w:val="both"/>
        <w:rPr>
          <w:rFonts w:ascii="Arial" w:hAnsi="Arial" w:cs="Arial"/>
          <w:sz w:val="20"/>
          <w:szCs w:val="20"/>
        </w:rPr>
      </w:pPr>
      <w:r>
        <w:rPr>
          <w:rFonts w:ascii="Arial" w:hAnsi="Arial" w:cs="Arial"/>
          <w:sz w:val="20"/>
          <w:szCs w:val="20"/>
        </w:rPr>
        <w:t xml:space="preserve">Article 5: </w:t>
      </w:r>
      <w:r w:rsidR="00E93074" w:rsidRPr="00E93074">
        <w:rPr>
          <w:rFonts w:ascii="Arial" w:hAnsi="Arial" w:cs="Arial"/>
          <w:sz w:val="20"/>
          <w:szCs w:val="20"/>
        </w:rPr>
        <w:t xml:space="preserve">Finalizing the remuneration fund for the Board of Directors and the Supervisory Board in 2019 and proposing the </w:t>
      </w:r>
      <w:r>
        <w:rPr>
          <w:rFonts w:ascii="Arial" w:hAnsi="Arial" w:cs="Arial"/>
          <w:sz w:val="20"/>
          <w:szCs w:val="20"/>
        </w:rPr>
        <w:t>remuneration fund for</w:t>
      </w:r>
      <w:r w:rsidR="00E93074" w:rsidRPr="00E93074">
        <w:rPr>
          <w:rFonts w:ascii="Arial" w:hAnsi="Arial" w:cs="Arial"/>
          <w:sz w:val="20"/>
          <w:szCs w:val="20"/>
        </w:rPr>
        <w:t xml:space="preserve"> Board of Directors and Supervisory Board in 2020</w:t>
      </w:r>
    </w:p>
    <w:p w:rsidR="00BA7F54" w:rsidRDefault="00BA7F54" w:rsidP="005610CB">
      <w:pPr>
        <w:spacing w:line="360" w:lineRule="auto"/>
        <w:jc w:val="both"/>
        <w:rPr>
          <w:rFonts w:ascii="Arial" w:hAnsi="Arial" w:cs="Arial"/>
          <w:sz w:val="20"/>
          <w:szCs w:val="20"/>
        </w:rPr>
      </w:pPr>
      <w:r w:rsidRPr="00BA7F54">
        <w:rPr>
          <w:rFonts w:ascii="Arial" w:hAnsi="Arial" w:cs="Arial"/>
          <w:sz w:val="20"/>
          <w:szCs w:val="20"/>
        </w:rPr>
        <w:t xml:space="preserve">The </w:t>
      </w:r>
      <w:r>
        <w:rPr>
          <w:rFonts w:ascii="Arial" w:hAnsi="Arial" w:cs="Arial"/>
          <w:sz w:val="20"/>
          <w:szCs w:val="20"/>
        </w:rPr>
        <w:t>annual General Meeting of Shareholders</w:t>
      </w:r>
      <w:r w:rsidRPr="00BA7F54">
        <w:rPr>
          <w:rFonts w:ascii="Arial" w:hAnsi="Arial" w:cs="Arial"/>
          <w:sz w:val="20"/>
          <w:szCs w:val="20"/>
        </w:rPr>
        <w:t xml:space="preserve"> agreed on the settlement of remuneration fund for the Board of Directors and the Supervisory Board in 2019 as follows: </w:t>
      </w:r>
    </w:p>
    <w:p w:rsidR="00BA7F54" w:rsidRDefault="00BA7F54" w:rsidP="005610CB">
      <w:pPr>
        <w:spacing w:line="360" w:lineRule="auto"/>
        <w:jc w:val="both"/>
        <w:rPr>
          <w:rFonts w:ascii="Arial" w:hAnsi="Arial" w:cs="Arial"/>
          <w:sz w:val="20"/>
          <w:szCs w:val="20"/>
        </w:rPr>
      </w:pPr>
      <w:r w:rsidRPr="00BA7F54">
        <w:rPr>
          <w:rFonts w:ascii="Arial" w:hAnsi="Arial" w:cs="Arial"/>
          <w:sz w:val="20"/>
          <w:szCs w:val="20"/>
        </w:rPr>
        <w:t>- Remuneration for the Board of Directors: VND 204</w:t>
      </w:r>
      <w:r>
        <w:rPr>
          <w:rFonts w:ascii="Arial" w:hAnsi="Arial" w:cs="Arial"/>
          <w:sz w:val="20"/>
          <w:szCs w:val="20"/>
        </w:rPr>
        <w:t>,</w:t>
      </w:r>
      <w:r w:rsidRPr="00BA7F54">
        <w:rPr>
          <w:rFonts w:ascii="Arial" w:hAnsi="Arial" w:cs="Arial"/>
          <w:sz w:val="20"/>
          <w:szCs w:val="20"/>
        </w:rPr>
        <w:t>000</w:t>
      </w:r>
      <w:r>
        <w:rPr>
          <w:rFonts w:ascii="Arial" w:hAnsi="Arial" w:cs="Arial"/>
          <w:sz w:val="20"/>
          <w:szCs w:val="20"/>
        </w:rPr>
        <w:t>,</w:t>
      </w:r>
      <w:r w:rsidRPr="00BA7F54">
        <w:rPr>
          <w:rFonts w:ascii="Arial" w:hAnsi="Arial" w:cs="Arial"/>
          <w:sz w:val="20"/>
          <w:szCs w:val="20"/>
        </w:rPr>
        <w:t xml:space="preserve">000 </w:t>
      </w:r>
    </w:p>
    <w:p w:rsidR="00BA7F54" w:rsidRDefault="00BA7F54" w:rsidP="005610CB">
      <w:pPr>
        <w:spacing w:line="360" w:lineRule="auto"/>
        <w:jc w:val="both"/>
        <w:rPr>
          <w:rFonts w:ascii="Arial" w:hAnsi="Arial" w:cs="Arial"/>
          <w:sz w:val="20"/>
          <w:szCs w:val="20"/>
        </w:rPr>
      </w:pPr>
      <w:r w:rsidRPr="00BA7F54">
        <w:rPr>
          <w:rFonts w:ascii="Arial" w:hAnsi="Arial" w:cs="Arial"/>
          <w:sz w:val="20"/>
          <w:szCs w:val="20"/>
        </w:rPr>
        <w:t xml:space="preserve">- Remuneration for the </w:t>
      </w:r>
      <w:r>
        <w:rPr>
          <w:rFonts w:ascii="Arial" w:hAnsi="Arial" w:cs="Arial"/>
          <w:sz w:val="20"/>
          <w:szCs w:val="20"/>
        </w:rPr>
        <w:t>Supervisor Board</w:t>
      </w:r>
      <w:r w:rsidRPr="00BA7F54">
        <w:rPr>
          <w:rFonts w:ascii="Arial" w:hAnsi="Arial" w:cs="Arial"/>
          <w:sz w:val="20"/>
          <w:szCs w:val="20"/>
        </w:rPr>
        <w:t>: VND 48</w:t>
      </w:r>
      <w:r>
        <w:rPr>
          <w:rFonts w:ascii="Arial" w:hAnsi="Arial" w:cs="Arial"/>
          <w:sz w:val="20"/>
          <w:szCs w:val="20"/>
        </w:rPr>
        <w:t>,</w:t>
      </w:r>
      <w:r w:rsidRPr="00BA7F54">
        <w:rPr>
          <w:rFonts w:ascii="Arial" w:hAnsi="Arial" w:cs="Arial"/>
          <w:sz w:val="20"/>
          <w:szCs w:val="20"/>
        </w:rPr>
        <w:t>000</w:t>
      </w:r>
      <w:r>
        <w:rPr>
          <w:rFonts w:ascii="Arial" w:hAnsi="Arial" w:cs="Arial"/>
          <w:sz w:val="20"/>
          <w:szCs w:val="20"/>
        </w:rPr>
        <w:t>,</w:t>
      </w:r>
      <w:r w:rsidRPr="00BA7F54">
        <w:rPr>
          <w:rFonts w:ascii="Arial" w:hAnsi="Arial" w:cs="Arial"/>
          <w:sz w:val="20"/>
          <w:szCs w:val="20"/>
        </w:rPr>
        <w:t xml:space="preserve">000 </w:t>
      </w:r>
    </w:p>
    <w:p w:rsidR="00BA7F54" w:rsidRDefault="00BA7F54" w:rsidP="005610CB">
      <w:pPr>
        <w:spacing w:line="360" w:lineRule="auto"/>
        <w:jc w:val="both"/>
        <w:rPr>
          <w:rFonts w:ascii="Arial" w:hAnsi="Arial" w:cs="Arial"/>
          <w:sz w:val="20"/>
          <w:szCs w:val="20"/>
        </w:rPr>
      </w:pPr>
      <w:r>
        <w:rPr>
          <w:rFonts w:ascii="Arial" w:hAnsi="Arial" w:cs="Arial"/>
          <w:sz w:val="20"/>
          <w:szCs w:val="20"/>
        </w:rPr>
        <w:t xml:space="preserve">The annual General Meeting of Shareholders </w:t>
      </w:r>
      <w:r w:rsidRPr="00BA7F54">
        <w:rPr>
          <w:rFonts w:ascii="Arial" w:hAnsi="Arial" w:cs="Arial"/>
          <w:sz w:val="20"/>
          <w:szCs w:val="20"/>
        </w:rPr>
        <w:t xml:space="preserve">approved the remuneration for the Board of Directors and the Supervisory Board in 2020 as follows: </w:t>
      </w:r>
    </w:p>
    <w:p w:rsidR="00BA7F54" w:rsidRDefault="00BA7F54" w:rsidP="005610CB">
      <w:pPr>
        <w:spacing w:line="360" w:lineRule="auto"/>
        <w:jc w:val="both"/>
        <w:rPr>
          <w:rFonts w:ascii="Arial" w:hAnsi="Arial" w:cs="Arial"/>
          <w:sz w:val="20"/>
          <w:szCs w:val="20"/>
        </w:rPr>
      </w:pPr>
      <w:r w:rsidRPr="00BA7F54">
        <w:rPr>
          <w:rFonts w:ascii="Arial" w:hAnsi="Arial" w:cs="Arial"/>
          <w:sz w:val="20"/>
          <w:szCs w:val="20"/>
        </w:rPr>
        <w:t xml:space="preserve">- Chairman of the Board of Directors: </w:t>
      </w:r>
      <w:r>
        <w:rPr>
          <w:rFonts w:ascii="Arial" w:hAnsi="Arial" w:cs="Arial"/>
          <w:sz w:val="20"/>
          <w:szCs w:val="20"/>
        </w:rPr>
        <w:t xml:space="preserve">VND </w:t>
      </w:r>
      <w:r w:rsidRPr="00BA7F54">
        <w:rPr>
          <w:rFonts w:ascii="Arial" w:hAnsi="Arial" w:cs="Arial"/>
          <w:sz w:val="20"/>
          <w:szCs w:val="20"/>
        </w:rPr>
        <w:t>5</w:t>
      </w:r>
      <w:r>
        <w:rPr>
          <w:rFonts w:ascii="Arial" w:hAnsi="Arial" w:cs="Arial"/>
          <w:sz w:val="20"/>
          <w:szCs w:val="20"/>
        </w:rPr>
        <w:t>,</w:t>
      </w:r>
      <w:r w:rsidRPr="00BA7F54">
        <w:rPr>
          <w:rFonts w:ascii="Arial" w:hAnsi="Arial" w:cs="Arial"/>
          <w:sz w:val="20"/>
          <w:szCs w:val="20"/>
        </w:rPr>
        <w:t>000</w:t>
      </w:r>
      <w:r>
        <w:rPr>
          <w:rFonts w:ascii="Arial" w:hAnsi="Arial" w:cs="Arial"/>
          <w:sz w:val="20"/>
          <w:szCs w:val="20"/>
        </w:rPr>
        <w:t>,</w:t>
      </w:r>
      <w:r w:rsidRPr="00BA7F54">
        <w:rPr>
          <w:rFonts w:ascii="Arial" w:hAnsi="Arial" w:cs="Arial"/>
          <w:sz w:val="20"/>
          <w:szCs w:val="20"/>
        </w:rPr>
        <w:t>000</w:t>
      </w:r>
      <w:r>
        <w:rPr>
          <w:rFonts w:ascii="Arial" w:hAnsi="Arial" w:cs="Arial"/>
          <w:sz w:val="20"/>
          <w:szCs w:val="20"/>
        </w:rPr>
        <w:t>/</w:t>
      </w:r>
      <w:r w:rsidRPr="00BA7F54">
        <w:rPr>
          <w:rFonts w:ascii="Arial" w:hAnsi="Arial" w:cs="Arial"/>
          <w:sz w:val="20"/>
          <w:szCs w:val="20"/>
        </w:rPr>
        <w:t>person</w:t>
      </w:r>
      <w:r>
        <w:rPr>
          <w:rFonts w:ascii="Arial" w:hAnsi="Arial" w:cs="Arial"/>
          <w:sz w:val="20"/>
          <w:szCs w:val="20"/>
        </w:rPr>
        <w:t>/</w:t>
      </w:r>
      <w:r w:rsidRPr="00BA7F54">
        <w:rPr>
          <w:rFonts w:ascii="Arial" w:hAnsi="Arial" w:cs="Arial"/>
          <w:sz w:val="20"/>
          <w:szCs w:val="20"/>
        </w:rPr>
        <w:t xml:space="preserve">month </w:t>
      </w:r>
    </w:p>
    <w:p w:rsidR="00BA7F54" w:rsidRDefault="00BA7F54" w:rsidP="005610CB">
      <w:pPr>
        <w:spacing w:line="360" w:lineRule="auto"/>
        <w:jc w:val="both"/>
        <w:rPr>
          <w:rFonts w:ascii="Arial" w:hAnsi="Arial" w:cs="Arial"/>
          <w:sz w:val="20"/>
          <w:szCs w:val="20"/>
        </w:rPr>
      </w:pPr>
      <w:r w:rsidRPr="00BA7F54">
        <w:rPr>
          <w:rFonts w:ascii="Arial" w:hAnsi="Arial" w:cs="Arial"/>
          <w:sz w:val="20"/>
          <w:szCs w:val="20"/>
        </w:rPr>
        <w:t xml:space="preserve">- Member of the </w:t>
      </w:r>
      <w:r>
        <w:rPr>
          <w:rFonts w:ascii="Arial" w:hAnsi="Arial" w:cs="Arial"/>
          <w:sz w:val="20"/>
          <w:szCs w:val="20"/>
        </w:rPr>
        <w:t>Board of Directors</w:t>
      </w:r>
      <w:r w:rsidRPr="00BA7F54">
        <w:rPr>
          <w:rFonts w:ascii="Arial" w:hAnsi="Arial" w:cs="Arial"/>
          <w:sz w:val="20"/>
          <w:szCs w:val="20"/>
        </w:rPr>
        <w:t xml:space="preserve">: </w:t>
      </w:r>
      <w:r>
        <w:rPr>
          <w:rFonts w:ascii="Arial" w:hAnsi="Arial" w:cs="Arial"/>
          <w:sz w:val="20"/>
          <w:szCs w:val="20"/>
        </w:rPr>
        <w:t xml:space="preserve">VND </w:t>
      </w:r>
      <w:r w:rsidRPr="00BA7F54">
        <w:rPr>
          <w:rFonts w:ascii="Arial" w:hAnsi="Arial" w:cs="Arial"/>
          <w:sz w:val="20"/>
          <w:szCs w:val="20"/>
        </w:rPr>
        <w:t>3</w:t>
      </w:r>
      <w:r>
        <w:rPr>
          <w:rFonts w:ascii="Arial" w:hAnsi="Arial" w:cs="Arial"/>
          <w:sz w:val="20"/>
          <w:szCs w:val="20"/>
        </w:rPr>
        <w:t>,</w:t>
      </w:r>
      <w:r w:rsidRPr="00BA7F54">
        <w:rPr>
          <w:rFonts w:ascii="Arial" w:hAnsi="Arial" w:cs="Arial"/>
          <w:sz w:val="20"/>
          <w:szCs w:val="20"/>
        </w:rPr>
        <w:t>000</w:t>
      </w:r>
      <w:r>
        <w:rPr>
          <w:rFonts w:ascii="Arial" w:hAnsi="Arial" w:cs="Arial"/>
          <w:sz w:val="20"/>
          <w:szCs w:val="20"/>
        </w:rPr>
        <w:t>,</w:t>
      </w:r>
      <w:r w:rsidRPr="00BA7F54">
        <w:rPr>
          <w:rFonts w:ascii="Arial" w:hAnsi="Arial" w:cs="Arial"/>
          <w:sz w:val="20"/>
          <w:szCs w:val="20"/>
        </w:rPr>
        <w:t>000</w:t>
      </w:r>
      <w:r>
        <w:rPr>
          <w:rFonts w:ascii="Arial" w:hAnsi="Arial" w:cs="Arial"/>
          <w:sz w:val="20"/>
          <w:szCs w:val="20"/>
        </w:rPr>
        <w:t>/</w:t>
      </w:r>
      <w:r w:rsidRPr="00BA7F54">
        <w:rPr>
          <w:rFonts w:ascii="Arial" w:hAnsi="Arial" w:cs="Arial"/>
          <w:sz w:val="20"/>
          <w:szCs w:val="20"/>
        </w:rPr>
        <w:t>person</w:t>
      </w:r>
      <w:r>
        <w:rPr>
          <w:rFonts w:ascii="Arial" w:hAnsi="Arial" w:cs="Arial"/>
          <w:sz w:val="20"/>
          <w:szCs w:val="20"/>
        </w:rPr>
        <w:t>/</w:t>
      </w:r>
      <w:r w:rsidRPr="00BA7F54">
        <w:rPr>
          <w:rFonts w:ascii="Arial" w:hAnsi="Arial" w:cs="Arial"/>
          <w:sz w:val="20"/>
          <w:szCs w:val="20"/>
        </w:rPr>
        <w:t xml:space="preserve">month </w:t>
      </w:r>
    </w:p>
    <w:p w:rsidR="00BA7F54" w:rsidRDefault="00BA7F54" w:rsidP="005610CB">
      <w:pPr>
        <w:spacing w:line="360" w:lineRule="auto"/>
        <w:jc w:val="both"/>
        <w:rPr>
          <w:rFonts w:ascii="Arial" w:hAnsi="Arial" w:cs="Arial"/>
          <w:sz w:val="20"/>
          <w:szCs w:val="20"/>
        </w:rPr>
      </w:pPr>
      <w:r w:rsidRPr="00BA7F54">
        <w:rPr>
          <w:rFonts w:ascii="Arial" w:hAnsi="Arial" w:cs="Arial"/>
          <w:sz w:val="20"/>
          <w:szCs w:val="20"/>
        </w:rPr>
        <w:t>- Head of Supervisory Board: VND 2</w:t>
      </w:r>
      <w:r>
        <w:rPr>
          <w:rFonts w:ascii="Arial" w:hAnsi="Arial" w:cs="Arial"/>
          <w:sz w:val="20"/>
          <w:szCs w:val="20"/>
        </w:rPr>
        <w:t>,</w:t>
      </w:r>
      <w:r w:rsidRPr="00BA7F54">
        <w:rPr>
          <w:rFonts w:ascii="Arial" w:hAnsi="Arial" w:cs="Arial"/>
          <w:sz w:val="20"/>
          <w:szCs w:val="20"/>
        </w:rPr>
        <w:t>000</w:t>
      </w:r>
      <w:r>
        <w:rPr>
          <w:rFonts w:ascii="Arial" w:hAnsi="Arial" w:cs="Arial"/>
          <w:sz w:val="20"/>
          <w:szCs w:val="20"/>
        </w:rPr>
        <w:t>,</w:t>
      </w:r>
      <w:r w:rsidRPr="00BA7F54">
        <w:rPr>
          <w:rFonts w:ascii="Arial" w:hAnsi="Arial" w:cs="Arial"/>
          <w:sz w:val="20"/>
          <w:szCs w:val="20"/>
        </w:rPr>
        <w:t>000</w:t>
      </w:r>
      <w:r>
        <w:rPr>
          <w:rFonts w:ascii="Arial" w:hAnsi="Arial" w:cs="Arial"/>
          <w:sz w:val="20"/>
          <w:szCs w:val="20"/>
        </w:rPr>
        <w:t>/</w:t>
      </w:r>
      <w:r w:rsidRPr="00BA7F54">
        <w:rPr>
          <w:rFonts w:ascii="Arial" w:hAnsi="Arial" w:cs="Arial"/>
          <w:sz w:val="20"/>
          <w:szCs w:val="20"/>
        </w:rPr>
        <w:t>person</w:t>
      </w:r>
      <w:r>
        <w:rPr>
          <w:rFonts w:ascii="Arial" w:hAnsi="Arial" w:cs="Arial"/>
          <w:sz w:val="20"/>
          <w:szCs w:val="20"/>
        </w:rPr>
        <w:t>/</w:t>
      </w:r>
      <w:r w:rsidRPr="00BA7F54">
        <w:rPr>
          <w:rFonts w:ascii="Arial" w:hAnsi="Arial" w:cs="Arial"/>
          <w:sz w:val="20"/>
          <w:szCs w:val="20"/>
        </w:rPr>
        <w:t xml:space="preserve">month </w:t>
      </w:r>
    </w:p>
    <w:p w:rsidR="00BA7F54" w:rsidRDefault="00BA7F54" w:rsidP="005610CB">
      <w:pPr>
        <w:spacing w:line="360" w:lineRule="auto"/>
        <w:jc w:val="both"/>
        <w:rPr>
          <w:rFonts w:ascii="Arial" w:hAnsi="Arial" w:cs="Arial"/>
          <w:sz w:val="20"/>
          <w:szCs w:val="20"/>
        </w:rPr>
      </w:pPr>
      <w:r w:rsidRPr="00BA7F54">
        <w:rPr>
          <w:rFonts w:ascii="Arial" w:hAnsi="Arial" w:cs="Arial"/>
          <w:sz w:val="20"/>
          <w:szCs w:val="20"/>
        </w:rPr>
        <w:t>- Members of the Supervisory Board: VND 1</w:t>
      </w:r>
      <w:r>
        <w:rPr>
          <w:rFonts w:ascii="Arial" w:hAnsi="Arial" w:cs="Arial"/>
          <w:sz w:val="20"/>
          <w:szCs w:val="20"/>
        </w:rPr>
        <w:t>,</w:t>
      </w:r>
      <w:r w:rsidRPr="00BA7F54">
        <w:rPr>
          <w:rFonts w:ascii="Arial" w:hAnsi="Arial" w:cs="Arial"/>
          <w:sz w:val="20"/>
          <w:szCs w:val="20"/>
        </w:rPr>
        <w:t>000</w:t>
      </w:r>
      <w:r>
        <w:rPr>
          <w:rFonts w:ascii="Arial" w:hAnsi="Arial" w:cs="Arial"/>
          <w:sz w:val="20"/>
          <w:szCs w:val="20"/>
        </w:rPr>
        <w:t>,</w:t>
      </w:r>
      <w:r w:rsidRPr="00BA7F54">
        <w:rPr>
          <w:rFonts w:ascii="Arial" w:hAnsi="Arial" w:cs="Arial"/>
          <w:sz w:val="20"/>
          <w:szCs w:val="20"/>
        </w:rPr>
        <w:t xml:space="preserve">000 million </w:t>
      </w:r>
    </w:p>
    <w:p w:rsidR="00BA7F54" w:rsidRDefault="00BA7F54" w:rsidP="005610CB">
      <w:pPr>
        <w:spacing w:line="360" w:lineRule="auto"/>
        <w:jc w:val="both"/>
        <w:rPr>
          <w:rFonts w:ascii="Arial" w:hAnsi="Arial" w:cs="Arial"/>
          <w:sz w:val="20"/>
          <w:szCs w:val="20"/>
        </w:rPr>
      </w:pPr>
      <w:r w:rsidRPr="00BA7F54">
        <w:rPr>
          <w:rFonts w:ascii="Arial" w:hAnsi="Arial" w:cs="Arial"/>
          <w:sz w:val="20"/>
          <w:szCs w:val="20"/>
        </w:rPr>
        <w:t xml:space="preserve">Remuneration of the Board of Directors and </w:t>
      </w:r>
      <w:r>
        <w:rPr>
          <w:rFonts w:ascii="Arial" w:hAnsi="Arial" w:cs="Arial"/>
          <w:sz w:val="20"/>
          <w:szCs w:val="20"/>
        </w:rPr>
        <w:t>the Supervisory Board is paid with 80% in</w:t>
      </w:r>
      <w:r w:rsidRPr="00BA7F54">
        <w:rPr>
          <w:rFonts w:ascii="Arial" w:hAnsi="Arial" w:cs="Arial"/>
          <w:sz w:val="20"/>
          <w:szCs w:val="20"/>
        </w:rPr>
        <w:t xml:space="preserve"> the monthly salary payment period in the year and the remaining amount is settled according to the results of completing the annual production and business plan of the Company</w:t>
      </w:r>
    </w:p>
    <w:p w:rsidR="00BA7F54" w:rsidRDefault="00BA7F54" w:rsidP="005610CB">
      <w:pPr>
        <w:spacing w:line="360" w:lineRule="auto"/>
        <w:jc w:val="both"/>
        <w:rPr>
          <w:rFonts w:ascii="Arial" w:hAnsi="Arial" w:cs="Arial"/>
          <w:sz w:val="20"/>
          <w:szCs w:val="20"/>
        </w:rPr>
      </w:pPr>
      <w:r>
        <w:rPr>
          <w:rFonts w:ascii="Arial" w:hAnsi="Arial" w:cs="Arial"/>
          <w:sz w:val="20"/>
          <w:szCs w:val="20"/>
        </w:rPr>
        <w:lastRenderedPageBreak/>
        <w:t xml:space="preserve">Article 6: </w:t>
      </w:r>
      <w:r w:rsidRPr="00BA7F54">
        <w:rPr>
          <w:rFonts w:ascii="Arial" w:hAnsi="Arial" w:cs="Arial"/>
          <w:sz w:val="20"/>
          <w:szCs w:val="20"/>
        </w:rPr>
        <w:t xml:space="preserve">Approve </w:t>
      </w:r>
      <w:r>
        <w:rPr>
          <w:rFonts w:ascii="Arial" w:hAnsi="Arial" w:cs="Arial"/>
          <w:sz w:val="20"/>
          <w:szCs w:val="20"/>
        </w:rPr>
        <w:t>the accounting of debts to the S</w:t>
      </w:r>
      <w:r w:rsidRPr="00BA7F54">
        <w:rPr>
          <w:rFonts w:ascii="Arial" w:hAnsi="Arial" w:cs="Arial"/>
          <w:sz w:val="20"/>
          <w:szCs w:val="20"/>
        </w:rPr>
        <w:t xml:space="preserve">tate according to the regulations and proposals of the </w:t>
      </w:r>
      <w:r w:rsidR="002E65E9" w:rsidRPr="002E65E9">
        <w:rPr>
          <w:rFonts w:ascii="Arial" w:hAnsi="Arial" w:cs="Arial"/>
          <w:sz w:val="20"/>
          <w:szCs w:val="20"/>
        </w:rPr>
        <w:t xml:space="preserve">State Capital and Investment Corporation </w:t>
      </w:r>
      <w:r w:rsidRPr="00BA7F54">
        <w:rPr>
          <w:rFonts w:ascii="Arial" w:hAnsi="Arial" w:cs="Arial"/>
          <w:sz w:val="20"/>
          <w:szCs w:val="20"/>
        </w:rPr>
        <w:t>(SCIC)</w:t>
      </w:r>
    </w:p>
    <w:p w:rsidR="002E65E9" w:rsidRDefault="002E65E9" w:rsidP="005610CB">
      <w:pPr>
        <w:spacing w:line="360" w:lineRule="auto"/>
        <w:jc w:val="both"/>
        <w:rPr>
          <w:rFonts w:ascii="Arial" w:hAnsi="Arial" w:cs="Arial"/>
          <w:sz w:val="20"/>
          <w:szCs w:val="20"/>
        </w:rPr>
      </w:pPr>
      <w:r>
        <w:rPr>
          <w:rFonts w:ascii="Arial" w:hAnsi="Arial" w:cs="Arial"/>
          <w:sz w:val="20"/>
          <w:szCs w:val="20"/>
        </w:rPr>
        <w:t xml:space="preserve">Article 7: </w:t>
      </w:r>
      <w:r w:rsidR="00BA7F54" w:rsidRPr="00BA7F54">
        <w:rPr>
          <w:rFonts w:ascii="Arial" w:hAnsi="Arial" w:cs="Arial"/>
          <w:sz w:val="20"/>
          <w:szCs w:val="20"/>
        </w:rPr>
        <w:t xml:space="preserve">Approving the selection of an independent auditing company </w:t>
      </w:r>
    </w:p>
    <w:p w:rsidR="002E65E9" w:rsidRDefault="00BA7F54" w:rsidP="005610CB">
      <w:pPr>
        <w:spacing w:line="360" w:lineRule="auto"/>
        <w:jc w:val="both"/>
        <w:rPr>
          <w:rFonts w:ascii="Arial" w:hAnsi="Arial" w:cs="Arial"/>
          <w:sz w:val="20"/>
          <w:szCs w:val="20"/>
        </w:rPr>
      </w:pPr>
      <w:r w:rsidRPr="00BA7F54">
        <w:rPr>
          <w:rFonts w:ascii="Arial" w:hAnsi="Arial" w:cs="Arial"/>
          <w:sz w:val="20"/>
          <w:szCs w:val="20"/>
        </w:rPr>
        <w:t xml:space="preserve">The </w:t>
      </w:r>
      <w:r w:rsidR="002E65E9">
        <w:rPr>
          <w:rFonts w:ascii="Arial" w:hAnsi="Arial" w:cs="Arial"/>
          <w:sz w:val="20"/>
          <w:szCs w:val="20"/>
        </w:rPr>
        <w:t xml:space="preserve">annual General Meeting of Shareholders </w:t>
      </w:r>
      <w:r w:rsidRPr="00BA7F54">
        <w:rPr>
          <w:rFonts w:ascii="Arial" w:hAnsi="Arial" w:cs="Arial"/>
          <w:sz w:val="20"/>
          <w:szCs w:val="20"/>
        </w:rPr>
        <w:t>approved the authorization for the Board of Directors and the Supervisory Board to select an auditing company named in the list of independent auditing firms approved by the State Securities Commission</w:t>
      </w:r>
      <w:r w:rsidR="002E65E9">
        <w:rPr>
          <w:rFonts w:ascii="Arial" w:hAnsi="Arial" w:cs="Arial"/>
          <w:sz w:val="20"/>
          <w:szCs w:val="20"/>
        </w:rPr>
        <w:t xml:space="preserve"> to audit</w:t>
      </w:r>
      <w:r w:rsidRPr="00BA7F54">
        <w:rPr>
          <w:rFonts w:ascii="Arial" w:hAnsi="Arial" w:cs="Arial"/>
          <w:sz w:val="20"/>
          <w:szCs w:val="20"/>
        </w:rPr>
        <w:t xml:space="preserve"> the </w:t>
      </w:r>
      <w:r w:rsidR="002E65E9">
        <w:rPr>
          <w:rFonts w:ascii="Arial" w:hAnsi="Arial" w:cs="Arial"/>
          <w:sz w:val="20"/>
          <w:szCs w:val="20"/>
        </w:rPr>
        <w:t>financial statement of 2020</w:t>
      </w:r>
      <w:r w:rsidRPr="00BA7F54">
        <w:rPr>
          <w:rFonts w:ascii="Arial" w:hAnsi="Arial" w:cs="Arial"/>
          <w:sz w:val="20"/>
          <w:szCs w:val="20"/>
        </w:rPr>
        <w:t xml:space="preserve"> for the Company </w:t>
      </w:r>
    </w:p>
    <w:p w:rsidR="002E65E9" w:rsidRDefault="002E65E9" w:rsidP="005610CB">
      <w:pPr>
        <w:spacing w:line="360" w:lineRule="auto"/>
        <w:jc w:val="both"/>
        <w:rPr>
          <w:rFonts w:ascii="Arial" w:hAnsi="Arial" w:cs="Arial"/>
          <w:sz w:val="20"/>
          <w:szCs w:val="20"/>
        </w:rPr>
      </w:pPr>
      <w:r>
        <w:rPr>
          <w:rFonts w:ascii="Arial" w:hAnsi="Arial" w:cs="Arial"/>
          <w:sz w:val="20"/>
          <w:szCs w:val="20"/>
        </w:rPr>
        <w:t xml:space="preserve">Article 8: </w:t>
      </w:r>
      <w:r w:rsidR="00BA7F54" w:rsidRPr="00BA7F54">
        <w:rPr>
          <w:rFonts w:ascii="Arial" w:hAnsi="Arial" w:cs="Arial"/>
          <w:sz w:val="20"/>
          <w:szCs w:val="20"/>
        </w:rPr>
        <w:t>Additional election</w:t>
      </w:r>
      <w:r>
        <w:rPr>
          <w:rFonts w:ascii="Arial" w:hAnsi="Arial" w:cs="Arial"/>
          <w:sz w:val="20"/>
          <w:szCs w:val="20"/>
        </w:rPr>
        <w:t xml:space="preserve"> to Ms. Truong Thanh </w:t>
      </w:r>
      <w:proofErr w:type="spellStart"/>
      <w:r>
        <w:rPr>
          <w:rFonts w:ascii="Arial" w:hAnsi="Arial" w:cs="Arial"/>
          <w:sz w:val="20"/>
          <w:szCs w:val="20"/>
        </w:rPr>
        <w:t>Nhan</w:t>
      </w:r>
      <w:proofErr w:type="spellEnd"/>
      <w:r>
        <w:rPr>
          <w:rFonts w:ascii="Arial" w:hAnsi="Arial" w:cs="Arial"/>
          <w:sz w:val="20"/>
          <w:szCs w:val="20"/>
        </w:rPr>
        <w:t xml:space="preserve"> to be</w:t>
      </w:r>
      <w:r w:rsidR="00BA7F54" w:rsidRPr="00BA7F54">
        <w:rPr>
          <w:rFonts w:ascii="Arial" w:hAnsi="Arial" w:cs="Arial"/>
          <w:sz w:val="20"/>
          <w:szCs w:val="20"/>
        </w:rPr>
        <w:t xml:space="preserve"> member of the Board of Directors for the term </w:t>
      </w:r>
      <w:r>
        <w:rPr>
          <w:rFonts w:ascii="Arial" w:hAnsi="Arial" w:cs="Arial"/>
          <w:sz w:val="20"/>
          <w:szCs w:val="20"/>
        </w:rPr>
        <w:t xml:space="preserve">of </w:t>
      </w:r>
      <w:r w:rsidR="00BA7F54" w:rsidRPr="00BA7F54">
        <w:rPr>
          <w:rFonts w:ascii="Arial" w:hAnsi="Arial" w:cs="Arial"/>
          <w:sz w:val="20"/>
          <w:szCs w:val="20"/>
        </w:rPr>
        <w:t xml:space="preserve">2016 </w:t>
      </w:r>
      <w:r>
        <w:rPr>
          <w:rFonts w:ascii="Arial" w:hAnsi="Arial" w:cs="Arial"/>
          <w:sz w:val="20"/>
          <w:szCs w:val="20"/>
        </w:rPr>
        <w:t>–</w:t>
      </w:r>
      <w:r w:rsidR="00BA7F54" w:rsidRPr="00BA7F54">
        <w:rPr>
          <w:rFonts w:ascii="Arial" w:hAnsi="Arial" w:cs="Arial"/>
          <w:sz w:val="20"/>
          <w:szCs w:val="20"/>
        </w:rPr>
        <w:t xml:space="preserve"> 2021</w:t>
      </w:r>
    </w:p>
    <w:p w:rsidR="002E65E9" w:rsidRDefault="002E65E9" w:rsidP="005610CB">
      <w:pPr>
        <w:spacing w:line="360" w:lineRule="auto"/>
        <w:jc w:val="both"/>
        <w:rPr>
          <w:rFonts w:ascii="Arial" w:hAnsi="Arial" w:cs="Arial"/>
          <w:sz w:val="20"/>
          <w:szCs w:val="20"/>
        </w:rPr>
      </w:pPr>
      <w:r>
        <w:rPr>
          <w:rFonts w:ascii="Arial" w:hAnsi="Arial" w:cs="Arial"/>
          <w:sz w:val="20"/>
          <w:szCs w:val="20"/>
        </w:rPr>
        <w:t xml:space="preserve">Article 9: </w:t>
      </w:r>
      <w:r w:rsidR="00BA7F54" w:rsidRPr="00BA7F54">
        <w:rPr>
          <w:rFonts w:ascii="Arial" w:hAnsi="Arial" w:cs="Arial"/>
          <w:sz w:val="20"/>
          <w:szCs w:val="20"/>
        </w:rPr>
        <w:t>The Resolution takes effect from the signing date</w:t>
      </w:r>
    </w:p>
    <w:p w:rsidR="00427859" w:rsidRDefault="00BA7F54" w:rsidP="005610CB">
      <w:pPr>
        <w:spacing w:line="360" w:lineRule="auto"/>
        <w:jc w:val="both"/>
        <w:rPr>
          <w:rFonts w:ascii="Arial" w:hAnsi="Arial" w:cs="Arial"/>
          <w:sz w:val="20"/>
          <w:szCs w:val="20"/>
        </w:rPr>
      </w:pPr>
      <w:r w:rsidRPr="00BA7F54">
        <w:rPr>
          <w:rFonts w:ascii="Arial" w:hAnsi="Arial" w:cs="Arial"/>
          <w:sz w:val="20"/>
          <w:szCs w:val="20"/>
        </w:rPr>
        <w:t>Members of the Board of Directors, the Supervisory Board, and the Company Manager are res</w:t>
      </w:r>
      <w:r w:rsidR="002E65E9">
        <w:rPr>
          <w:rFonts w:ascii="Arial" w:hAnsi="Arial" w:cs="Arial"/>
          <w:sz w:val="20"/>
          <w:szCs w:val="20"/>
        </w:rPr>
        <w:t>ponsible for implementing this extraordinary General Mandate</w:t>
      </w:r>
      <w:r w:rsidRPr="00BA7F54">
        <w:rPr>
          <w:rFonts w:ascii="Arial" w:hAnsi="Arial" w:cs="Arial"/>
          <w:sz w:val="20"/>
          <w:szCs w:val="20"/>
        </w:rPr>
        <w:t xml:space="preserve"> and organize the implementation according to their operational functions in accordance with the law and </w:t>
      </w:r>
      <w:r w:rsidR="002E65E9">
        <w:rPr>
          <w:rFonts w:ascii="Arial" w:hAnsi="Arial" w:cs="Arial"/>
          <w:sz w:val="20"/>
          <w:szCs w:val="20"/>
        </w:rPr>
        <w:t xml:space="preserve">Charter of </w:t>
      </w:r>
      <w:proofErr w:type="spellStart"/>
      <w:r w:rsidR="002E65E9" w:rsidRPr="002E65E9">
        <w:rPr>
          <w:rFonts w:ascii="Arial" w:hAnsi="Arial" w:cs="Arial"/>
          <w:sz w:val="20"/>
          <w:szCs w:val="20"/>
        </w:rPr>
        <w:t>Duoc</w:t>
      </w:r>
      <w:proofErr w:type="spellEnd"/>
      <w:r w:rsidR="002E65E9" w:rsidRPr="002E65E9">
        <w:rPr>
          <w:rFonts w:ascii="Arial" w:hAnsi="Arial" w:cs="Arial"/>
          <w:sz w:val="20"/>
          <w:szCs w:val="20"/>
        </w:rPr>
        <w:t xml:space="preserve"> </w:t>
      </w:r>
      <w:proofErr w:type="spellStart"/>
      <w:r w:rsidR="002E65E9" w:rsidRPr="002E65E9">
        <w:rPr>
          <w:rFonts w:ascii="Arial" w:hAnsi="Arial" w:cs="Arial"/>
          <w:sz w:val="20"/>
          <w:szCs w:val="20"/>
        </w:rPr>
        <w:t>Khoa</w:t>
      </w:r>
      <w:proofErr w:type="spellEnd"/>
      <w:r w:rsidR="002E65E9" w:rsidRPr="002E65E9">
        <w:rPr>
          <w:rFonts w:ascii="Arial" w:hAnsi="Arial" w:cs="Arial"/>
          <w:sz w:val="20"/>
          <w:szCs w:val="20"/>
        </w:rPr>
        <w:t xml:space="preserve"> Pharmaceutical Joint Stock Company</w:t>
      </w:r>
    </w:p>
    <w:sectPr w:rsidR="00427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B00D1"/>
    <w:multiLevelType w:val="hybridMultilevel"/>
    <w:tmpl w:val="0E948548"/>
    <w:lvl w:ilvl="0" w:tplc="22DEF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12C59"/>
    <w:rsid w:val="00013D2F"/>
    <w:rsid w:val="00016249"/>
    <w:rsid w:val="000266C2"/>
    <w:rsid w:val="000365C1"/>
    <w:rsid w:val="00050E3D"/>
    <w:rsid w:val="000603A9"/>
    <w:rsid w:val="000A0B74"/>
    <w:rsid w:val="000D20D4"/>
    <w:rsid w:val="000E21EB"/>
    <w:rsid w:val="000E4CD5"/>
    <w:rsid w:val="000E518E"/>
    <w:rsid w:val="000E71F4"/>
    <w:rsid w:val="00132EC5"/>
    <w:rsid w:val="00137F24"/>
    <w:rsid w:val="00140C63"/>
    <w:rsid w:val="00146DCF"/>
    <w:rsid w:val="00160B60"/>
    <w:rsid w:val="0016411D"/>
    <w:rsid w:val="00167E2F"/>
    <w:rsid w:val="001B25AA"/>
    <w:rsid w:val="001E03D4"/>
    <w:rsid w:val="001F34A1"/>
    <w:rsid w:val="001F6744"/>
    <w:rsid w:val="00221EC5"/>
    <w:rsid w:val="00232199"/>
    <w:rsid w:val="00296BF9"/>
    <w:rsid w:val="002B42CC"/>
    <w:rsid w:val="002C36A5"/>
    <w:rsid w:val="002D481A"/>
    <w:rsid w:val="002D4939"/>
    <w:rsid w:val="002D53EE"/>
    <w:rsid w:val="002E0C30"/>
    <w:rsid w:val="002E21E7"/>
    <w:rsid w:val="002E43D7"/>
    <w:rsid w:val="002E65E9"/>
    <w:rsid w:val="002E7FD0"/>
    <w:rsid w:val="002F7125"/>
    <w:rsid w:val="00304722"/>
    <w:rsid w:val="0032185B"/>
    <w:rsid w:val="00322258"/>
    <w:rsid w:val="00327CF7"/>
    <w:rsid w:val="0033774A"/>
    <w:rsid w:val="0035197A"/>
    <w:rsid w:val="00351FF8"/>
    <w:rsid w:val="00353428"/>
    <w:rsid w:val="00357CCB"/>
    <w:rsid w:val="0037607E"/>
    <w:rsid w:val="00397004"/>
    <w:rsid w:val="003A0ECB"/>
    <w:rsid w:val="003A5CE9"/>
    <w:rsid w:val="003B73F7"/>
    <w:rsid w:val="003C1805"/>
    <w:rsid w:val="003C4606"/>
    <w:rsid w:val="003E034B"/>
    <w:rsid w:val="00403A9C"/>
    <w:rsid w:val="004263B2"/>
    <w:rsid w:val="0042783A"/>
    <w:rsid w:val="00427859"/>
    <w:rsid w:val="00440BF3"/>
    <w:rsid w:val="004530A7"/>
    <w:rsid w:val="00453C9C"/>
    <w:rsid w:val="00467BC0"/>
    <w:rsid w:val="0047038B"/>
    <w:rsid w:val="00490B2B"/>
    <w:rsid w:val="00496733"/>
    <w:rsid w:val="004A5893"/>
    <w:rsid w:val="004B2BA6"/>
    <w:rsid w:val="004C0412"/>
    <w:rsid w:val="004D016D"/>
    <w:rsid w:val="004D4171"/>
    <w:rsid w:val="004E4C16"/>
    <w:rsid w:val="00503DD6"/>
    <w:rsid w:val="00505065"/>
    <w:rsid w:val="0052379D"/>
    <w:rsid w:val="00547232"/>
    <w:rsid w:val="0055067A"/>
    <w:rsid w:val="005610CB"/>
    <w:rsid w:val="005728E5"/>
    <w:rsid w:val="00575D6C"/>
    <w:rsid w:val="00576A91"/>
    <w:rsid w:val="005771F6"/>
    <w:rsid w:val="0058434E"/>
    <w:rsid w:val="005906FC"/>
    <w:rsid w:val="005B40E5"/>
    <w:rsid w:val="005E6721"/>
    <w:rsid w:val="006000D8"/>
    <w:rsid w:val="0063035E"/>
    <w:rsid w:val="006374A1"/>
    <w:rsid w:val="006569C4"/>
    <w:rsid w:val="00695ACD"/>
    <w:rsid w:val="006A2523"/>
    <w:rsid w:val="006A4FD8"/>
    <w:rsid w:val="006B04E8"/>
    <w:rsid w:val="006B36E8"/>
    <w:rsid w:val="006E15A6"/>
    <w:rsid w:val="006E5E99"/>
    <w:rsid w:val="006F162C"/>
    <w:rsid w:val="006F2B51"/>
    <w:rsid w:val="00710F35"/>
    <w:rsid w:val="00732DC3"/>
    <w:rsid w:val="007336C9"/>
    <w:rsid w:val="00744587"/>
    <w:rsid w:val="00745D9A"/>
    <w:rsid w:val="00750F3E"/>
    <w:rsid w:val="00751242"/>
    <w:rsid w:val="0077136F"/>
    <w:rsid w:val="0077456B"/>
    <w:rsid w:val="00781EB4"/>
    <w:rsid w:val="007A072F"/>
    <w:rsid w:val="007A1FCC"/>
    <w:rsid w:val="007B07E7"/>
    <w:rsid w:val="007B3F9D"/>
    <w:rsid w:val="007B67AF"/>
    <w:rsid w:val="007C13C6"/>
    <w:rsid w:val="007E0993"/>
    <w:rsid w:val="007F298E"/>
    <w:rsid w:val="00806DA7"/>
    <w:rsid w:val="008134FC"/>
    <w:rsid w:val="00837771"/>
    <w:rsid w:val="0084142F"/>
    <w:rsid w:val="0084485C"/>
    <w:rsid w:val="00853748"/>
    <w:rsid w:val="008544C2"/>
    <w:rsid w:val="008626C9"/>
    <w:rsid w:val="008844CB"/>
    <w:rsid w:val="00884B9C"/>
    <w:rsid w:val="008A5F4A"/>
    <w:rsid w:val="008B283E"/>
    <w:rsid w:val="008C156B"/>
    <w:rsid w:val="008C7A42"/>
    <w:rsid w:val="00923467"/>
    <w:rsid w:val="00937D79"/>
    <w:rsid w:val="00981275"/>
    <w:rsid w:val="009C28F2"/>
    <w:rsid w:val="009E0E29"/>
    <w:rsid w:val="009E1744"/>
    <w:rsid w:val="009F40C1"/>
    <w:rsid w:val="00A01930"/>
    <w:rsid w:val="00A06443"/>
    <w:rsid w:val="00A06521"/>
    <w:rsid w:val="00A128FC"/>
    <w:rsid w:val="00A34999"/>
    <w:rsid w:val="00A46FA9"/>
    <w:rsid w:val="00A4710B"/>
    <w:rsid w:val="00A63B6C"/>
    <w:rsid w:val="00A71A1E"/>
    <w:rsid w:val="00A77A30"/>
    <w:rsid w:val="00A87ED0"/>
    <w:rsid w:val="00A9229B"/>
    <w:rsid w:val="00AA54AD"/>
    <w:rsid w:val="00AB2C99"/>
    <w:rsid w:val="00AB32F6"/>
    <w:rsid w:val="00AC4F64"/>
    <w:rsid w:val="00AC6BEF"/>
    <w:rsid w:val="00AE6E83"/>
    <w:rsid w:val="00AF67BE"/>
    <w:rsid w:val="00B04704"/>
    <w:rsid w:val="00B21CC3"/>
    <w:rsid w:val="00B41327"/>
    <w:rsid w:val="00B46C41"/>
    <w:rsid w:val="00B70D7E"/>
    <w:rsid w:val="00B7158A"/>
    <w:rsid w:val="00B85BCA"/>
    <w:rsid w:val="00BA1F12"/>
    <w:rsid w:val="00BA3FB7"/>
    <w:rsid w:val="00BA7F54"/>
    <w:rsid w:val="00BB149F"/>
    <w:rsid w:val="00BB2980"/>
    <w:rsid w:val="00BD3CCA"/>
    <w:rsid w:val="00BD6E49"/>
    <w:rsid w:val="00BE14E8"/>
    <w:rsid w:val="00BF0485"/>
    <w:rsid w:val="00C1009E"/>
    <w:rsid w:val="00C220E2"/>
    <w:rsid w:val="00C2280B"/>
    <w:rsid w:val="00C26F1A"/>
    <w:rsid w:val="00C32F3A"/>
    <w:rsid w:val="00C33F82"/>
    <w:rsid w:val="00C36031"/>
    <w:rsid w:val="00C37FDB"/>
    <w:rsid w:val="00C57563"/>
    <w:rsid w:val="00C61EAF"/>
    <w:rsid w:val="00C65003"/>
    <w:rsid w:val="00C7067B"/>
    <w:rsid w:val="00C940B5"/>
    <w:rsid w:val="00CA1BB3"/>
    <w:rsid w:val="00CA22DF"/>
    <w:rsid w:val="00CE40C1"/>
    <w:rsid w:val="00D05AAD"/>
    <w:rsid w:val="00D13079"/>
    <w:rsid w:val="00D415AC"/>
    <w:rsid w:val="00D455F3"/>
    <w:rsid w:val="00D503EA"/>
    <w:rsid w:val="00D52C26"/>
    <w:rsid w:val="00D651E1"/>
    <w:rsid w:val="00D74339"/>
    <w:rsid w:val="00D77F89"/>
    <w:rsid w:val="00D831C0"/>
    <w:rsid w:val="00D92955"/>
    <w:rsid w:val="00D92EFF"/>
    <w:rsid w:val="00D958D6"/>
    <w:rsid w:val="00DA3531"/>
    <w:rsid w:val="00DA3891"/>
    <w:rsid w:val="00DA54D0"/>
    <w:rsid w:val="00DB5EDC"/>
    <w:rsid w:val="00DD1205"/>
    <w:rsid w:val="00DD263A"/>
    <w:rsid w:val="00DE5C3C"/>
    <w:rsid w:val="00DF4180"/>
    <w:rsid w:val="00DF739B"/>
    <w:rsid w:val="00E13C77"/>
    <w:rsid w:val="00E24F0A"/>
    <w:rsid w:val="00E254DD"/>
    <w:rsid w:val="00E51C91"/>
    <w:rsid w:val="00E51F4E"/>
    <w:rsid w:val="00E5565D"/>
    <w:rsid w:val="00E76EEC"/>
    <w:rsid w:val="00E80D5C"/>
    <w:rsid w:val="00E93074"/>
    <w:rsid w:val="00E96D65"/>
    <w:rsid w:val="00ED6D41"/>
    <w:rsid w:val="00EE3928"/>
    <w:rsid w:val="00EF091F"/>
    <w:rsid w:val="00F00F1D"/>
    <w:rsid w:val="00F074C3"/>
    <w:rsid w:val="00F272CE"/>
    <w:rsid w:val="00F3012E"/>
    <w:rsid w:val="00F320D6"/>
    <w:rsid w:val="00F33967"/>
    <w:rsid w:val="00F360CB"/>
    <w:rsid w:val="00F411EA"/>
    <w:rsid w:val="00F514ED"/>
    <w:rsid w:val="00F62F9C"/>
    <w:rsid w:val="00F74558"/>
    <w:rsid w:val="00F86F7A"/>
    <w:rsid w:val="00F903A5"/>
    <w:rsid w:val="00FC153A"/>
    <w:rsid w:val="00FD3EED"/>
    <w:rsid w:val="00FD4001"/>
    <w:rsid w:val="00FE1016"/>
    <w:rsid w:val="00FE1D49"/>
    <w:rsid w:val="00FF5483"/>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E08E0"/>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1287</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Bui Thanh Hai</cp:lastModifiedBy>
  <cp:revision>220</cp:revision>
  <dcterms:created xsi:type="dcterms:W3CDTF">2019-10-16T10:03:00Z</dcterms:created>
  <dcterms:modified xsi:type="dcterms:W3CDTF">2020-05-08T04:20:00Z</dcterms:modified>
</cp:coreProperties>
</file>